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-1111885</wp:posOffset>
            </wp:positionV>
            <wp:extent cx="6966585" cy="10505440"/>
            <wp:effectExtent l="0" t="0" r="5715" b="10160"/>
            <wp:wrapNone/>
            <wp:docPr id="2" name="图片 2" descr="扫描全能王 2021-01-11 15.36.45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36.45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1050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0166-2019-2021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陕西缔忠罡制造有限公司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技术质量部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刘万里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在技术质量部检查发现对该厂提供检测校准服务的外部供方：“深圳新广行检测技术有限公司”未</w:t>
            </w:r>
            <w:r>
              <w:rPr>
                <w:rFonts w:hint="eastAsia"/>
                <w:szCs w:val="21"/>
                <w:lang w:val="en-US" w:eastAsia="zh-CN"/>
              </w:rPr>
              <w:t>实施评价并记录。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GB/T19022标准条款6.4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由技术质量部负责收集该计量外部供方并实施评价形成评价记录。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8D2B06"/>
    <w:rsid w:val="2061042C"/>
    <w:rsid w:val="3FA87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2021-01-11T08:20:39Z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