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焦德尚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王香玉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周涛、张静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91330106662334448c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物业管理、承接园林绿化工程、城市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生活垃圾清扫、收集处置、保洁服务等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</w:rPr>
              <w:t>物业管理服务所涉及的能源管理活动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color w:val="000000"/>
                <w:szCs w:val="21"/>
                <w:u w:val="single"/>
              </w:rPr>
              <w:t>浙江省杭州市西湖区文三西路658号西溪别墅会馆一楼营业用房102室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浙江省杭州市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余杭区五常街道盛奥铭座2幢2单元13楼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FF0000"/>
              </w:rPr>
              <w:t>现场1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浙江省杭州市西湖区文一路208号春天花园。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现场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浙江省杭州市余杭区高教路与青石滩河交叉口溪悦宸府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宋体" w:hAnsi="宋体"/>
                <w:bCs/>
                <w:szCs w:val="21"/>
              </w:rPr>
              <w:t>服务过程策划→投标洽谈→签到合同→人员配置→提供物业服务→处理投诉、业主回访→评价、改进服务质量</w:t>
            </w:r>
            <w:r>
              <w:rPr>
                <w:rFonts w:hint="eastAsia" w:ascii="宋体" w:hAnsi="宋体"/>
                <w:bCs/>
                <w:color w:val="262626"/>
                <w:szCs w:val="21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335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330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 高效节能  创新改造  提高能效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5"/>
              <w:tblW w:w="9440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2"/>
              <w:gridCol w:w="754"/>
              <w:gridCol w:w="2413"/>
              <w:gridCol w:w="2356"/>
              <w:gridCol w:w="152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能源目标、指标名称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241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年目标、指标值</w:t>
                  </w:r>
                </w:p>
              </w:tc>
              <w:tc>
                <w:tcPr>
                  <w:tcW w:w="235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2021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年目标、指标值</w:t>
                  </w:r>
                </w:p>
              </w:tc>
              <w:tc>
                <w:tcPr>
                  <w:tcW w:w="1525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后期每年度节约递增10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tce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239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年计划节能量</w:t>
                  </w:r>
                </w:p>
              </w:tc>
              <w:tc>
                <w:tcPr>
                  <w:tcW w:w="754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tce</w:t>
                  </w:r>
                </w:p>
              </w:tc>
              <w:tc>
                <w:tcPr>
                  <w:tcW w:w="241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节约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 xml:space="preserve"> tce</w:t>
                  </w:r>
                </w:p>
              </w:tc>
              <w:tc>
                <w:tcPr>
                  <w:tcW w:w="235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节约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  <w:t>0 tce</w:t>
                  </w:r>
                </w:p>
              </w:tc>
              <w:tc>
                <w:tcPr>
                  <w:tcW w:w="152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FF0000"/>
                <w:szCs w:val="18"/>
              </w:rPr>
              <w:t>年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18"/>
              </w:rPr>
              <w:t>月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26</w:t>
            </w:r>
            <w:r>
              <w:rPr>
                <w:rFonts w:hint="eastAsia"/>
                <w:color w:val="FF0000"/>
                <w:szCs w:val="18"/>
              </w:rPr>
              <w:t>日实施了内部审核</w:t>
            </w:r>
            <w:r>
              <w:rPr>
                <w:rFonts w:hint="eastAsia"/>
                <w:color w:val="000000"/>
                <w:szCs w:val="18"/>
              </w:rPr>
              <w:t>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FF0000"/>
                <w:szCs w:val="18"/>
              </w:rPr>
              <w:t>年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FF0000"/>
                <w:szCs w:val="18"/>
              </w:rPr>
              <w:t>月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FF0000"/>
                <w:szCs w:val="18"/>
              </w:rPr>
              <w:t>日实施了</w:t>
            </w:r>
            <w:r>
              <w:rPr>
                <w:rFonts w:hint="eastAsia"/>
                <w:color w:val="000000"/>
                <w:szCs w:val="18"/>
              </w:rPr>
              <w:t>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9E90101"/>
    <w:rsid w:val="1AE426F4"/>
    <w:rsid w:val="1B0C55E1"/>
    <w:rsid w:val="1B121C61"/>
    <w:rsid w:val="1B8D4D03"/>
    <w:rsid w:val="1B917B85"/>
    <w:rsid w:val="1B9B6ABA"/>
    <w:rsid w:val="1C4D2B0F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6E6B4D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113DE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5A01F0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3</TotalTime>
  <ScaleCrop>false</ScaleCrop>
  <LinksUpToDate>false</LinksUpToDate>
  <CharactersWithSpaces>18121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2021-01-13T07:48:51Z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