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海南河道综合整治工程有限公司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朱晓丽</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2018-N1QMS-2205805</w:t>
            </w:r>
          </w:p>
          <w:p>
            <w:pPr>
              <w:snapToGrid w:val="0"/>
              <w:spacing w:line="276" w:lineRule="auto"/>
              <w:jc w:val="left"/>
              <w:rPr>
                <w:rFonts w:hint="eastAsia"/>
                <w:b/>
                <w:sz w:val="22"/>
                <w:szCs w:val="22"/>
              </w:rPr>
            </w:pPr>
            <w:r>
              <w:rPr>
                <w:rFonts w:hint="eastAsia"/>
                <w:b/>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993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2021-01-25T06:52:36Z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