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77"/>
        <w:gridCol w:w="1237"/>
        <w:gridCol w:w="1511"/>
        <w:gridCol w:w="1193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四川省开拓文化发展有限公司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90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Q：29.08.09;29.12.00;33.02.02</w:t>
            </w:r>
          </w:p>
          <w:p>
            <w:pPr>
              <w:snapToGrid w:val="0"/>
              <w:spacing w:line="280" w:lineRule="exact"/>
              <w:ind w:left="52" w:leftChars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E：29.08.09;29.12.00;33.02.02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77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张浩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Q:33.02.02</w:t>
            </w:r>
          </w:p>
          <w:p>
            <w:pPr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E:33.02.02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培训地点</w:t>
            </w: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77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李林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77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Q:29.08.09,29.12.00</w:t>
            </w:r>
          </w:p>
          <w:p>
            <w:pPr>
              <w:snapToGrid w:val="0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E:29.08.09,29.12.00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0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产品销售服务流程：</w:t>
            </w:r>
          </w:p>
          <w:p>
            <w:pPr>
              <w:tabs>
                <w:tab w:val="left" w:pos="1080"/>
              </w:tabs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 xml:space="preserve">   流程：</w:t>
            </w:r>
            <w:r>
              <w:rPr>
                <w:rFonts w:hint="eastAsia"/>
                <w:sz w:val="21"/>
                <w:szCs w:val="21"/>
                <w:highlight w:val="none"/>
              </w:rPr>
              <w:t>联系客户—业务洽谈—合同签订—准备产品—检验—客户签收—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售后</w:t>
            </w:r>
            <w:r>
              <w:rPr>
                <w:rFonts w:hint="eastAsia"/>
                <w:sz w:val="21"/>
                <w:szCs w:val="21"/>
                <w:highlight w:val="none"/>
              </w:rPr>
              <w:t>服务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系统集成流程：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前期准备工作—项目推进管理—项目合同推进—物料采购—工程实施—工程结项—售后服务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关键过程：销售过程，销售作业指导书；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特殊过程：隐蔽工程，隐蔽工程作业指导书。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重要环境因素：潜在火灾、固体废弃物排放等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软件工程 产品质量 第1部分:质量模型GB/T 16260.1-2006；软件工程 产品质量 第2部分:外部度量GB/T 16260.2-2006；软件工程 产品质量 第3部分:内部度量GB/T 16260.3-2006；软件工程 产品质量 第4部分:使用质量的度量GB/T 16260.4-2006；软件配置管理GJB 5880-2006；计算机软件测试文档编制规范GB/T 9386-2008；企业信息化系统集成实施指南GB/T 26327-2010；企业控制系统集成 第1部分:模型和术语IEC 62264-1-2013；</w:t>
            </w:r>
            <w:r>
              <w:rPr>
                <w:rFonts w:hint="eastAsia" w:ascii="宋体" w:hAnsi="宋体"/>
                <w:sz w:val="21"/>
                <w:szCs w:val="21"/>
              </w:rPr>
              <w:t>合同法；产品质量法等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</w:tbl>
    <w:p>
      <w:pPr>
        <w:snapToGrid w:val="0"/>
        <w:rPr>
          <w:rFonts w:hint="eastAsia" w:ascii="宋体"/>
          <w:b/>
          <w:sz w:val="22"/>
          <w:szCs w:val="22"/>
        </w:rPr>
      </w:pPr>
      <w:r>
        <w:rPr>
          <w:rFonts w:hint="eastAsia" w:ascii="宋体" w:hAnsi="宋体"/>
          <w:b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15875</wp:posOffset>
            </wp:positionV>
            <wp:extent cx="540385" cy="382270"/>
            <wp:effectExtent l="0" t="0" r="12065" b="17780"/>
            <wp:wrapSquare wrapText="bothSides"/>
            <wp:docPr id="1" name="图片 2" descr="李林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李林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25400</wp:posOffset>
            </wp:positionV>
            <wp:extent cx="675640" cy="436880"/>
            <wp:effectExtent l="0" t="0" r="10160" b="1270"/>
            <wp:wrapSquare wrapText="bothSides"/>
            <wp:docPr id="2" name="图片 2" descr="16098136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981364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2021.01.05</w:t>
      </w:r>
      <w:r>
        <w:rPr>
          <w:rFonts w:ascii="宋体"/>
          <w:b/>
          <w:sz w:val="22"/>
          <w:szCs w:val="22"/>
        </w:rPr>
        <w:t xml:space="preserve">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2021.01.05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p>
      <w:pPr>
        <w:bidi w:val="0"/>
        <w:rPr>
          <w:rFonts w:ascii="Times New Roman" w:hAnsi="Times New Roman" w:eastAsia="宋体" w:cs="Times New Roman"/>
          <w:kern w:val="2"/>
          <w:sz w:val="24"/>
          <w:lang w:val="en-US" w:eastAsia="zh-CN" w:bidi="ar-SA"/>
        </w:rPr>
      </w:pPr>
    </w:p>
    <w:p>
      <w:pPr>
        <w:tabs>
          <w:tab w:val="left" w:pos="549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4" w:name="_GoBack"/>
      <w:bookmarkEnd w:id="4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A7C1EBC"/>
    <w:rsid w:val="484379D5"/>
    <w:rsid w:val="593F1287"/>
    <w:rsid w:val="59AF4D29"/>
    <w:rsid w:val="6B74231E"/>
    <w:rsid w:val="73A47672"/>
    <w:rsid w:val="7B3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Administrator</cp:lastModifiedBy>
  <dcterms:modified xsi:type="dcterms:W3CDTF">2021-01-05T02:28:23Z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