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0153-2020-EO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成都汉度科技有限公司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E:19.01.02,33.02.01</w:t>
            </w:r>
          </w:p>
          <w:p>
            <w:pPr>
              <w:spacing w:line="240" w:lineRule="exact"/>
              <w:jc w:val="center"/>
              <w:rPr>
                <w:b/>
                <w:color w:val="000000" w:themeColor="text1"/>
                <w:sz w:val="20"/>
                <w:szCs w:val="20"/>
              </w:rPr>
            </w:pPr>
            <w:r>
              <w:rPr>
                <w:b/>
                <w:color w:val="000000" w:themeColor="text1"/>
                <w:sz w:val="20"/>
                <w:szCs w:val="20"/>
              </w:rPr>
              <w:t>O:19.01.02,33.02.01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E:19.01.02,33.02.01</w:t>
            </w:r>
          </w:p>
          <w:p>
            <w:pPr>
              <w:spacing w:line="240" w:lineRule="exact"/>
              <w:jc w:val="center"/>
              <w:rPr>
                <w:b/>
                <w:color w:val="000000" w:themeColor="text1"/>
                <w:sz w:val="20"/>
                <w:szCs w:val="20"/>
              </w:rPr>
            </w:pPr>
            <w:r>
              <w:rPr>
                <w:b/>
                <w:color w:val="000000" w:themeColor="text1"/>
                <w:sz w:val="20"/>
                <w:szCs w:val="20"/>
              </w:rPr>
              <w:t>O:19.01.02,33.02.01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FF0000"/>
                <w:sz w:val="20"/>
                <w:szCs w:val="20"/>
                <w:lang w:val="en-US" w:eastAsia="zh-CN"/>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b/>
                <w:color w:val="FF0000"/>
                <w:sz w:val="20"/>
                <w:szCs w:val="20"/>
              </w:rPr>
            </w:pPr>
            <w:r>
              <w:rPr>
                <w:b/>
                <w:color w:val="FF0000"/>
                <w:sz w:val="20"/>
                <w:szCs w:val="20"/>
              </w:rPr>
              <w:t>组长</w:t>
            </w:r>
          </w:p>
        </w:tc>
        <w:tc>
          <w:tcPr>
            <w:tcW w:w="1216" w:type="dxa"/>
            <w:vAlign w:val="center"/>
          </w:tcPr>
          <w:p>
            <w:pPr>
              <w:spacing w:line="240" w:lineRule="exact"/>
              <w:jc w:val="center"/>
              <w:rPr>
                <w:b/>
                <w:color w:val="FF0000"/>
                <w:sz w:val="20"/>
                <w:szCs w:val="20"/>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E:审核员</w:t>
            </w:r>
          </w:p>
          <w:p>
            <w:pPr>
              <w:spacing w:line="240" w:lineRule="exact"/>
              <w:jc w:val="center"/>
              <w:rPr>
                <w:b/>
                <w:color w:val="FF0000"/>
                <w:sz w:val="20"/>
                <w:szCs w:val="20"/>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E:19.01.02,33.02.01</w:t>
            </w:r>
          </w:p>
          <w:p>
            <w:pPr>
              <w:spacing w:line="240" w:lineRule="exact"/>
              <w:jc w:val="center"/>
              <w:rPr>
                <w:b/>
                <w:color w:val="FF0000"/>
                <w:sz w:val="20"/>
                <w:szCs w:val="20"/>
              </w:rPr>
            </w:pPr>
            <w:r>
              <w:rPr>
                <w:b/>
                <w:color w:val="FF0000"/>
                <w:sz w:val="20"/>
                <w:szCs w:val="20"/>
              </w:rPr>
              <w:t>O:19.01.02,33.02.01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FF0000"/>
                <w:sz w:val="20"/>
                <w:szCs w:val="20"/>
                <w:lang w:val="en-US" w:eastAsia="zh-CN"/>
              </w:rPr>
            </w:pPr>
            <w:r>
              <w:rPr>
                <w:b/>
                <w:color w:val="FF0000"/>
                <w:sz w:val="20"/>
                <w:szCs w:val="20"/>
              </w:rPr>
              <w:t>宋明珠</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b/>
                <w:color w:val="FF0000"/>
                <w:sz w:val="20"/>
                <w:szCs w:val="20"/>
              </w:rPr>
            </w:pPr>
            <w:r>
              <w:rPr>
                <w:b/>
                <w:color w:val="FF0000"/>
                <w:sz w:val="20"/>
                <w:szCs w:val="20"/>
              </w:rPr>
              <w:t>组员</w:t>
            </w:r>
          </w:p>
        </w:tc>
        <w:tc>
          <w:tcPr>
            <w:tcW w:w="1216" w:type="dxa"/>
            <w:vAlign w:val="center"/>
          </w:tcPr>
          <w:p>
            <w:pPr>
              <w:spacing w:line="240" w:lineRule="exact"/>
              <w:jc w:val="center"/>
              <w:rPr>
                <w:b/>
                <w:color w:val="FF0000"/>
                <w:sz w:val="20"/>
                <w:szCs w:val="20"/>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E:审核员</w:t>
            </w:r>
          </w:p>
        </w:tc>
        <w:tc>
          <w:tcPr>
            <w:tcW w:w="2333" w:type="dxa"/>
            <w:gridSpan w:val="2"/>
            <w:vAlign w:val="center"/>
          </w:tcPr>
          <w:p>
            <w:pPr>
              <w:spacing w:line="240" w:lineRule="exact"/>
              <w:jc w:val="center"/>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FF0000"/>
                <w:sz w:val="20"/>
                <w:szCs w:val="20"/>
              </w:rPr>
            </w:pPr>
            <w:r>
              <w:rPr>
                <w:b/>
                <w:color w:val="FF0000"/>
                <w:sz w:val="20"/>
                <w:szCs w:val="20"/>
              </w:rPr>
              <w:t>余家龙</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b/>
                <w:color w:val="FF0000"/>
                <w:sz w:val="20"/>
                <w:szCs w:val="20"/>
              </w:rPr>
            </w:pPr>
            <w:r>
              <w:rPr>
                <w:b/>
                <w:color w:val="FF0000"/>
                <w:sz w:val="20"/>
                <w:szCs w:val="20"/>
              </w:rPr>
              <w:t>组员</w:t>
            </w:r>
          </w:p>
        </w:tc>
        <w:tc>
          <w:tcPr>
            <w:tcW w:w="1216" w:type="dxa"/>
            <w:vAlign w:val="center"/>
          </w:tcPr>
          <w:p>
            <w:pPr>
              <w:spacing w:line="240" w:lineRule="exact"/>
              <w:jc w:val="center"/>
              <w:rPr>
                <w:b/>
                <w:color w:val="FF0000"/>
                <w:sz w:val="20"/>
                <w:szCs w:val="20"/>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E:审核员</w:t>
            </w:r>
          </w:p>
        </w:tc>
        <w:tc>
          <w:tcPr>
            <w:tcW w:w="2333" w:type="dxa"/>
            <w:gridSpan w:val="2"/>
            <w:vAlign w:val="center"/>
          </w:tcPr>
          <w:p>
            <w:pPr>
              <w:spacing w:line="240" w:lineRule="exact"/>
              <w:jc w:val="center"/>
              <w:rPr>
                <w:b/>
                <w:color w:val="FF0000"/>
                <w:sz w:val="20"/>
                <w:szCs w:val="20"/>
              </w:rPr>
            </w:pPr>
            <w:r>
              <w:rPr>
                <w:b/>
                <w:color w:val="FF0000"/>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FF0000"/>
                <w:sz w:val="20"/>
                <w:szCs w:val="20"/>
              </w:rPr>
            </w:pPr>
            <w:r>
              <w:rPr>
                <w:b/>
                <w:color w:val="FF0000"/>
                <w:sz w:val="20"/>
                <w:szCs w:val="20"/>
              </w:rPr>
              <w:t>冉景洲</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b/>
                <w:color w:val="FF0000"/>
                <w:sz w:val="20"/>
                <w:szCs w:val="20"/>
              </w:rPr>
            </w:pPr>
            <w:r>
              <w:rPr>
                <w:b/>
                <w:color w:val="FF0000"/>
                <w:sz w:val="20"/>
                <w:szCs w:val="20"/>
              </w:rPr>
              <w:t>组员</w:t>
            </w:r>
          </w:p>
        </w:tc>
        <w:tc>
          <w:tcPr>
            <w:tcW w:w="1216" w:type="dxa"/>
            <w:vAlign w:val="center"/>
          </w:tcPr>
          <w:p>
            <w:pPr>
              <w:spacing w:line="240" w:lineRule="exact"/>
              <w:jc w:val="center"/>
              <w:rPr>
                <w:b/>
                <w:color w:val="FF0000"/>
                <w:sz w:val="20"/>
                <w:szCs w:val="20"/>
              </w:rPr>
            </w:pPr>
            <w:r>
              <w:rPr>
                <w:b/>
                <w:color w:val="FF0000"/>
                <w:sz w:val="20"/>
                <w:szCs w:val="20"/>
              </w:rPr>
              <w:t>女</w:t>
            </w:r>
          </w:p>
        </w:tc>
        <w:tc>
          <w:tcPr>
            <w:tcW w:w="3478" w:type="dxa"/>
            <w:gridSpan w:val="3"/>
            <w:vAlign w:val="center"/>
          </w:tcPr>
          <w:p>
            <w:pPr>
              <w:spacing w:line="240" w:lineRule="exact"/>
              <w:jc w:val="center"/>
              <w:rPr>
                <w:b/>
                <w:color w:val="FF0000"/>
                <w:sz w:val="20"/>
                <w:szCs w:val="20"/>
              </w:rPr>
            </w:pPr>
            <w:r>
              <w:rPr>
                <w:b/>
                <w:color w:val="FF0000"/>
                <w:sz w:val="20"/>
                <w:szCs w:val="20"/>
              </w:rPr>
              <w:t>E:审核员</w:t>
            </w:r>
          </w:p>
        </w:tc>
        <w:tc>
          <w:tcPr>
            <w:tcW w:w="2333" w:type="dxa"/>
            <w:gridSpan w:val="2"/>
            <w:vAlign w:val="center"/>
          </w:tcPr>
          <w:p>
            <w:pPr>
              <w:spacing w:line="240" w:lineRule="exact"/>
              <w:jc w:val="center"/>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成都汉度科技有限公司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中国(四川)自由贸易试验区成都高新区天府大道中段1388号1栋2层264号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成都市高新区天府大道北段1480号孵化园5号楼105、107</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朱晓寒</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028-85191842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代辉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代辉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李文超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E：计算机应用软件的开发及服务；电力系统智能输变信息、配电信息、用电信息采集用控制模块的设计、生产、销售（涉及资质许可除外）所涉及的环境管理体系活动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O：计算机应用软件的开发及服务；电力系统智能输变信息、配电信息、用电信息采集用控制模块的设计、生产、销售（涉及资质许可除外）所涉及的职业健康安全管理活动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E：19.01.02;33.02.01</w:t>
            </w:r>
          </w:p>
          <w:p>
            <w:pPr>
              <w:spacing w:line="320" w:lineRule="exact"/>
              <w:rPr>
                <w:rFonts w:ascii="宋体" w:hAnsi="宋体"/>
                <w:b/>
                <w:color w:val="000000" w:themeColor="text1"/>
                <w:sz w:val="20"/>
                <w:szCs w:val="20"/>
              </w:rPr>
            </w:pPr>
            <w:r>
              <w:rPr>
                <w:rFonts w:ascii="宋体" w:hAnsi="宋体"/>
                <w:b/>
                <w:color w:val="000000" w:themeColor="text1"/>
                <w:sz w:val="20"/>
                <w:szCs w:val="20"/>
              </w:rPr>
              <w:t>O：19.01.02;33.02.01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2020-01-02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研发部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color w:val="000000"/>
                <w:szCs w:val="21"/>
                <w:lang w:eastAsia="zh-CN"/>
              </w:rPr>
            </w:pPr>
            <w:r>
              <w:rPr>
                <w:rFonts w:hint="eastAsia" w:ascii="宋体" w:hAnsi="宋体"/>
                <w:szCs w:val="21"/>
              </w:rPr>
              <w:t>计算机应用软件的开发；电力系统智能输变信息、配电信息、用电信息采集用控制模块的设计、生产</w:t>
            </w:r>
            <w:r>
              <w:rPr>
                <w:rFonts w:hint="eastAsia" w:ascii="宋体" w:hAnsi="宋体"/>
                <w:szCs w:val="21"/>
                <w:lang w:eastAsia="zh-CN"/>
              </w:rPr>
              <w:t>。</w:t>
            </w:r>
          </w:p>
          <w:p>
            <w:pPr>
              <w:rPr>
                <w:b/>
                <w:color w:val="000000" w:themeColor="text1"/>
                <w:sz w:val="20"/>
                <w:szCs w:val="20"/>
              </w:rPr>
            </w:pPr>
          </w:p>
        </w:tc>
        <w:tc>
          <w:tcPr>
            <w:tcW w:w="2519" w:type="dxa"/>
          </w:tcPr>
          <w:p>
            <w:pPr>
              <w:rPr>
                <w:b/>
                <w:color w:val="000000" w:themeColor="text1"/>
                <w:sz w:val="20"/>
                <w:szCs w:val="20"/>
              </w:rPr>
            </w:pPr>
            <w:r>
              <w:rPr>
                <w:rFonts w:hint="eastAsia"/>
                <w:b/>
                <w:color w:val="000000" w:themeColor="text1"/>
                <w:sz w:val="20"/>
                <w:szCs w:val="20"/>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Arial"/>
                <w:color w:val="000000" w:themeColor="text1"/>
                <w:szCs w:val="21"/>
                <w:highlight w:val="none"/>
                <w:lang w:eastAsia="zh-CN"/>
              </w:rPr>
              <w:t>电磁兼容试验和测量技术静电抗拢度试验</w:t>
            </w:r>
            <w:r>
              <w:rPr>
                <w:rFonts w:hint="eastAsia" w:ascii="宋体" w:hAnsi="宋体" w:cs="Arial"/>
                <w:color w:val="000000" w:themeColor="text1"/>
                <w:szCs w:val="21"/>
                <w:highlight w:val="none"/>
                <w:lang w:val="en-US" w:eastAsia="zh-CN"/>
              </w:rPr>
              <w:t>GB/T17626.2-2018</w:t>
            </w:r>
            <w:r>
              <w:rPr>
                <w:rFonts w:hint="eastAsia" w:ascii="宋体" w:hAnsi="宋体" w:cs="Arial"/>
                <w:color w:val="000000" w:themeColor="text1"/>
                <w:szCs w:val="21"/>
                <w:highlight w:val="none"/>
              </w:rPr>
              <w:t>、</w:t>
            </w:r>
            <w:r>
              <w:rPr>
                <w:rFonts w:hint="eastAsia" w:ascii="宋体" w:hAnsi="宋体" w:cs="Arial"/>
                <w:color w:val="000000" w:themeColor="text1"/>
                <w:szCs w:val="21"/>
                <w:highlight w:val="none"/>
                <w:lang w:eastAsia="zh-CN"/>
              </w:rPr>
              <w:t>电磁兼容试验和测量技术电快瞬变脉冲抗拢度试验</w:t>
            </w:r>
            <w:r>
              <w:rPr>
                <w:rFonts w:hint="eastAsia" w:ascii="宋体" w:hAnsi="宋体" w:cs="Arial"/>
                <w:color w:val="000000" w:themeColor="text1"/>
                <w:szCs w:val="21"/>
                <w:highlight w:val="none"/>
                <w:lang w:val="en-US" w:eastAsia="zh-CN"/>
              </w:rPr>
              <w:t>GB/T17626.4-2018、采集系统通信单元技术规范GDW1374.3-2013</w:t>
            </w:r>
            <w:r>
              <w:rPr>
                <w:rFonts w:hint="eastAsia" w:ascii="宋体" w:hAnsi="宋体" w:cs="Arial"/>
                <w:color w:val="000000" w:themeColor="text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计算机应用软件的开发服务；电力系统智能输变信息、配电信息、用电信息采集用控制模块的销售</w:t>
            </w:r>
            <w:r>
              <w:rPr>
                <w:rFonts w:hint="eastAsia" w:ascii="宋体" w:hAnsi="宋体"/>
                <w:szCs w:val="21"/>
                <w:lang w:eastAsia="zh-CN"/>
              </w:rPr>
              <w:t>。</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rPr>
              <w:t>中华人民共和国消费者权益保护法</w:t>
            </w:r>
            <w:r>
              <w:rPr>
                <w:rFonts w:hint="eastAsia" w:ascii="宋体" w:hAnsi="宋体"/>
                <w:color w:val="00000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rFonts w:hint="eastAsia" w:ascii="Times New Roman" w:hAnsi="Times New Roman" w:eastAsia="宋体" w:cs="Times New Roman"/>
          <w:b/>
          <w:color w:val="FF0000"/>
          <w:spacing w:val="-10"/>
          <w:szCs w:val="21"/>
          <w:lang w:eastAsia="zh-CN"/>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lang w:val="en-US" w:eastAsia="zh-CN"/>
        </w:rPr>
        <w:t>1</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2</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r>
        <w:rPr>
          <w:rFonts w:hint="eastAsia"/>
          <w:b/>
          <w:color w:val="000000" w:themeColor="text1"/>
          <w:spacing w:val="-10"/>
          <w:szCs w:val="21"/>
          <w:u w:val="single"/>
          <w:lang w:val="en-US" w:eastAsia="zh-CN"/>
        </w:rPr>
        <w:t>3</w:t>
      </w:r>
      <w:r>
        <w:rPr>
          <w:rFonts w:hint="eastAsia"/>
          <w:b/>
          <w:color w:val="000000" w:themeColor="text1"/>
          <w:spacing w:val="-10"/>
          <w:szCs w:val="21"/>
        </w:rPr>
        <w:t>日。</w:t>
      </w:r>
      <w:r>
        <w:rPr>
          <w:rFonts w:hint="eastAsia"/>
          <w:b/>
          <w:color w:val="000000" w:themeColor="text1"/>
          <w:spacing w:val="-10"/>
          <w:szCs w:val="21"/>
          <w:lang w:eastAsia="zh-CN"/>
        </w:rPr>
        <w:t>（</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w:t>
      </w:r>
      <w:r>
        <w:rPr>
          <w:rFonts w:hint="eastAsia" w:ascii="Times New Roman" w:hAnsi="Times New Roman" w:eastAsia="宋体" w:cs="Times New Roman"/>
          <w:b/>
          <w:color w:val="FF0000"/>
          <w:spacing w:val="-10"/>
          <w:szCs w:val="21"/>
          <w:lang w:val="en-US" w:eastAsia="zh-CN"/>
        </w:rPr>
        <w:t>5</w:t>
      </w:r>
      <w:r>
        <w:rPr>
          <w:rFonts w:hint="eastAsia" w:ascii="Times New Roman" w:hAnsi="Times New Roman" w:eastAsia="宋体" w:cs="Times New Roman"/>
          <w:b/>
          <w:color w:val="FF0000"/>
          <w:spacing w:val="-10"/>
          <w:szCs w:val="21"/>
          <w:lang w:eastAsia="zh-CN"/>
        </w:rPr>
        <w:t>月</w:t>
      </w:r>
      <w:r>
        <w:rPr>
          <w:rFonts w:hint="eastAsia" w:ascii="Times New Roman" w:hAnsi="Times New Roman" w:eastAsia="宋体" w:cs="Times New Roman"/>
          <w:b/>
          <w:color w:val="FF0000"/>
          <w:spacing w:val="-10"/>
          <w:szCs w:val="21"/>
          <w:lang w:val="en-US" w:eastAsia="zh-CN"/>
        </w:rPr>
        <w:t>3</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至2021年1月10日）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投资方、银行、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b w:val="0"/>
                <w:bCs w:val="0"/>
                <w:sz w:val="21"/>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Cs w:val="22"/>
              </w:rPr>
              <w:t>环境</w:t>
            </w:r>
            <w:r>
              <w:rPr>
                <w:rFonts w:hint="eastAsia"/>
                <w:szCs w:val="22"/>
                <w:lang w:eastAsia="zh-CN"/>
              </w:rPr>
              <w:t>、</w:t>
            </w:r>
            <w:r>
              <w:rPr>
                <w:rFonts w:hint="eastAsia"/>
                <w:szCs w:val="22"/>
              </w:rPr>
              <w:t xml:space="preserve">职业健康安全管理方针： </w:t>
            </w:r>
            <w:r>
              <w:rPr>
                <w:rFonts w:hint="eastAsia"/>
                <w:b w:val="0"/>
                <w:bCs w:val="0"/>
                <w:sz w:val="21"/>
                <w:szCs w:val="21"/>
              </w:rPr>
              <w:t>“</w:t>
            </w:r>
            <w:r>
              <w:rPr>
                <w:rFonts w:hint="eastAsia" w:ascii="宋体" w:hAnsi="宋体" w:cs="宋体"/>
                <w:b w:val="0"/>
                <w:bCs w:val="0"/>
                <w:kern w:val="0"/>
                <w:sz w:val="21"/>
                <w:szCs w:val="21"/>
                <w:lang w:eastAsia="zh-CN"/>
              </w:rPr>
              <w:t>遵纪守法，爱护环境，节能减耗，杜绝事故，消除隐患，持续改善</w:t>
            </w:r>
            <w:r>
              <w:rPr>
                <w:rFonts w:hint="eastAsia"/>
                <w:b w:val="0"/>
                <w:bCs w:val="0"/>
                <w:sz w:val="21"/>
                <w:szCs w:val="21"/>
              </w:rPr>
              <w:t>”。</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固废的排放、噪声排放控制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组织建立了危险源识别、评价控制程序，识别评价了危险源、风险相关的过程，评价出了重要危险源，与之相关的过程有研发设计、销售、技术服务，针对重要危险源制定了管理方案。控制措施实施有效。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color w:val="000000"/>
                <w:szCs w:val="21"/>
              </w:rPr>
            </w:pPr>
            <w:r>
              <w:rPr>
                <w:rFonts w:hint="eastAsia"/>
                <w:color w:val="000000"/>
                <w:szCs w:val="21"/>
              </w:rPr>
              <w:t>环境、职业健康安全目标：</w:t>
            </w:r>
            <w:r>
              <w:rPr>
                <w:rFonts w:hint="eastAsia"/>
                <w:color w:val="000000"/>
                <w:szCs w:val="21"/>
                <w:lang w:val="en-US" w:eastAsia="zh-CN"/>
              </w:rPr>
              <w:t xml:space="preserve">              </w:t>
            </w:r>
            <w:r>
              <w:rPr>
                <w:rFonts w:hint="eastAsia" w:ascii="宋体" w:hAnsi="宋体"/>
                <w:szCs w:val="21"/>
              </w:rPr>
              <w:t>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w:t>
            </w:r>
            <w:r>
              <w:rPr>
                <w:rFonts w:hint="eastAsia" w:ascii="宋体" w:hAnsi="宋体"/>
                <w:szCs w:val="21"/>
                <w:lang w:val="en-US" w:eastAsia="zh-CN"/>
              </w:rPr>
              <w:t>3</w:t>
            </w:r>
            <w:r>
              <w:rPr>
                <w:rFonts w:hint="eastAsia" w:ascii="宋体" w:hAnsi="宋体"/>
                <w:szCs w:val="21"/>
              </w:rPr>
              <w:t>月）</w:t>
            </w:r>
          </w:p>
          <w:p>
            <w:pPr>
              <w:snapToGrid w:val="0"/>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sz w:val="21"/>
                <w:szCs w:val="21"/>
                <w:lang w:val="en-US" w:eastAsia="zh-CN"/>
              </w:rPr>
              <w:t>废水、固废、噪声排放无投诉</w:t>
            </w:r>
            <w:r>
              <w:rPr>
                <w:rFonts w:hint="eastAsia" w:ascii="宋体" w:hAnsi="宋体" w:cs="宋体"/>
                <w:kern w:val="0"/>
                <w:sz w:val="21"/>
                <w:szCs w:val="21"/>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eastAsia="zh-CN"/>
              </w:rPr>
              <w:t>无投诉</w:t>
            </w:r>
          </w:p>
          <w:p>
            <w:pPr>
              <w:snapToGrid w:val="0"/>
              <w:rPr>
                <w:rFonts w:hint="eastAsia" w:ascii="宋体" w:hAnsi="宋体" w:cs="宋体"/>
                <w:kern w:val="0"/>
                <w:sz w:val="21"/>
                <w:szCs w:val="21"/>
                <w:lang w:eastAsia="zh-CN"/>
              </w:rPr>
            </w:pPr>
            <w:r>
              <w:rPr>
                <w:rFonts w:hint="eastAsia" w:ascii="宋体" w:hAnsi="宋体" w:cs="宋体"/>
                <w:kern w:val="0"/>
                <w:szCs w:val="21"/>
              </w:rPr>
              <w:t>2、</w:t>
            </w:r>
            <w:r>
              <w:rPr>
                <w:rFonts w:hint="eastAsia" w:ascii="宋体" w:hAnsi="宋体" w:cs="宋体"/>
                <w:kern w:val="0"/>
                <w:sz w:val="21"/>
                <w:szCs w:val="21"/>
                <w:lang w:eastAsia="zh-CN"/>
              </w:rPr>
              <w:t>安全事故财物损失小于1000元≤1单/季、</w:t>
            </w:r>
          </w:p>
          <w:p>
            <w:pPr>
              <w:snapToGrid w:val="0"/>
              <w:ind w:firstLine="210" w:firstLineChars="100"/>
              <w:rPr>
                <w:rFonts w:hint="eastAsia" w:ascii="宋体" w:hAnsi="宋体" w:eastAsia="宋体" w:cs="宋体"/>
                <w:kern w:val="0"/>
                <w:szCs w:val="21"/>
                <w:lang w:eastAsia="zh-CN"/>
              </w:rPr>
            </w:pPr>
            <w:r>
              <w:rPr>
                <w:rFonts w:hint="eastAsia" w:ascii="宋体" w:hAnsi="宋体" w:cs="宋体"/>
                <w:kern w:val="0"/>
                <w:sz w:val="21"/>
                <w:szCs w:val="21"/>
                <w:lang w:eastAsia="zh-CN"/>
              </w:rPr>
              <w:t>损失超过1000元严重致残或死亡事故0单/季</w:t>
            </w:r>
            <w:r>
              <w:rPr>
                <w:rFonts w:hint="eastAsia"/>
                <w:sz w:val="21"/>
                <w:szCs w:val="21"/>
                <w:lang w:eastAsia="zh-CN"/>
              </w:rPr>
              <w:t>；</w:t>
            </w:r>
            <w:r>
              <w:rPr>
                <w:rFonts w:hint="eastAsia"/>
                <w:szCs w:val="21"/>
              </w:rPr>
              <w:t xml:space="preserve">        </w:t>
            </w:r>
            <w:r>
              <w:rPr>
                <w:rFonts w:hint="eastAsia"/>
                <w:szCs w:val="21"/>
                <w:lang w:eastAsia="zh-CN"/>
              </w:rPr>
              <w:t>未发生安全、伤残、死亡事故</w:t>
            </w:r>
          </w:p>
          <w:p>
            <w:pPr>
              <w:snapToGrid w:val="0"/>
              <w:rPr>
                <w:szCs w:val="21"/>
              </w:rPr>
            </w:pPr>
            <w:r>
              <w:rPr>
                <w:rFonts w:hint="eastAsia" w:ascii="宋体" w:hAnsi="宋体" w:cs="宋体"/>
                <w:kern w:val="0"/>
                <w:szCs w:val="21"/>
              </w:rPr>
              <w:t>3、</w:t>
            </w:r>
            <w:r>
              <w:rPr>
                <w:rFonts w:hint="eastAsia" w:ascii="宋体" w:hAnsi="宋体" w:eastAsia="宋体" w:cs="宋体"/>
                <w:kern w:val="0"/>
                <w:sz w:val="21"/>
                <w:szCs w:val="21"/>
                <w:lang w:val="en-US" w:eastAsia="zh-CN"/>
              </w:rPr>
              <w:t>无火灾爆炸事故发生</w:t>
            </w:r>
            <w:r>
              <w:rPr>
                <w:rFonts w:hint="eastAsia"/>
                <w:sz w:val="21"/>
                <w:szCs w:val="21"/>
                <w:lang w:eastAsia="zh-CN"/>
              </w:rPr>
              <w:t>。</w:t>
            </w:r>
            <w:r>
              <w:rPr>
                <w:rFonts w:hint="eastAsia"/>
                <w:szCs w:val="21"/>
              </w:rPr>
              <w:t xml:space="preserve">                        </w:t>
            </w:r>
            <w:r>
              <w:rPr>
                <w:rFonts w:hint="eastAsia"/>
                <w:szCs w:val="21"/>
                <w:lang w:val="en-US" w:eastAsia="zh-CN"/>
              </w:rPr>
              <w:t xml:space="preserve">     未发生</w:t>
            </w:r>
            <w:r>
              <w:rPr>
                <w:rFonts w:hint="eastAsia" w:ascii="宋体" w:hAnsi="宋体" w:eastAsia="宋体" w:cs="宋体"/>
                <w:kern w:val="0"/>
                <w:sz w:val="21"/>
                <w:szCs w:val="21"/>
                <w:lang w:val="en-US" w:eastAsia="zh-CN"/>
              </w:rPr>
              <w:t>火灾爆炸事故</w:t>
            </w:r>
          </w:p>
          <w:p>
            <w:pPr>
              <w:snapToGrid w:val="0"/>
              <w:rPr>
                <w:szCs w:val="21"/>
              </w:rPr>
            </w:pPr>
            <w:r>
              <w:rPr>
                <w:rFonts w:hint="eastAsia"/>
                <w:szCs w:val="21"/>
              </w:rPr>
              <w:t xml:space="preserve">                                 </w:t>
            </w:r>
          </w:p>
          <w:p>
            <w:p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w:t>
            </w:r>
            <w:r>
              <w:rPr>
                <w:rFonts w:hint="eastAsia" w:ascii="宋体" w:hAnsi="宋体" w:cs="宋体"/>
                <w:color w:val="000000" w:themeColor="text1"/>
                <w:lang w:val="en-US" w:eastAsia="zh-CN"/>
              </w:rPr>
              <w:t>2</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计算机应用软件的开发及服务；电力系统智能输变信息、配电信息、用电信息采集用控制模块的设计、生产、销售</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highlight w:val="none"/>
              </w:rPr>
              <w:t>办公场所面积</w:t>
            </w:r>
            <w:r>
              <w:rPr>
                <w:rFonts w:hint="eastAsia" w:ascii="宋体" w:hAnsi="宋体"/>
                <w:szCs w:val="21"/>
                <w:highlight w:val="none"/>
                <w:lang w:val="en-US" w:eastAsia="zh-CN"/>
              </w:rPr>
              <w:t>400</w:t>
            </w:r>
            <w:r>
              <w:rPr>
                <w:rFonts w:hint="eastAsia" w:ascii="宋体" w:hAnsi="宋体"/>
                <w:szCs w:val="21"/>
                <w:highlight w:val="none"/>
              </w:rPr>
              <w:t>平方左右</w:t>
            </w:r>
            <w:r>
              <w:rPr>
                <w:rFonts w:hint="eastAsia" w:ascii="宋体" w:hAnsi="宋体"/>
                <w:szCs w:val="21"/>
                <w:highlight w:val="none"/>
                <w:lang w:eastAsia="zh-CN"/>
              </w:rPr>
              <w:t>、组装车间面积</w:t>
            </w:r>
            <w:r>
              <w:rPr>
                <w:rFonts w:hint="eastAsia" w:ascii="宋体" w:hAnsi="宋体"/>
                <w:szCs w:val="21"/>
                <w:highlight w:val="none"/>
                <w:lang w:val="en-US" w:eastAsia="zh-CN"/>
              </w:rPr>
              <w:t>30平方米</w:t>
            </w:r>
            <w:r>
              <w:rPr>
                <w:rFonts w:hint="eastAsia" w:ascii="宋体" w:hAnsi="宋体"/>
                <w:szCs w:val="21"/>
                <w:highlight w:val="none"/>
                <w:lang w:eastAsia="zh-CN"/>
              </w:rPr>
              <w:t>、库房面积</w:t>
            </w:r>
            <w:r>
              <w:rPr>
                <w:rFonts w:hint="eastAsia" w:ascii="宋体" w:hAnsi="宋体"/>
                <w:szCs w:val="21"/>
                <w:highlight w:val="none"/>
                <w:lang w:val="en-US" w:eastAsia="zh-CN"/>
              </w:rPr>
              <w:t>25平方米</w:t>
            </w:r>
            <w:r>
              <w:rPr>
                <w:rFonts w:hint="eastAsia" w:ascii="宋体" w:hAnsi="宋体"/>
                <w:szCs w:val="21"/>
                <w:highlight w:val="none"/>
              </w:rPr>
              <w:t>。</w:t>
            </w:r>
            <w:r>
              <w:rPr>
                <w:rFonts w:hint="eastAsia" w:ascii="宋体" w:hAnsi="宋体" w:cs="宋体"/>
                <w:szCs w:val="21"/>
                <w:highlight w:val="none"/>
              </w:rPr>
              <w:t>主要生产设备包括</w:t>
            </w:r>
            <w:r>
              <w:rPr>
                <w:rFonts w:hint="eastAsia" w:ascii="宋体" w:hAnsi="宋体" w:eastAsia="宋体" w:cs="宋体"/>
                <w:szCs w:val="21"/>
                <w:highlight w:val="none"/>
                <w:lang w:val="en-US" w:eastAsia="zh-CN"/>
              </w:rPr>
              <w:t>贴片机、</w:t>
            </w:r>
            <w:r>
              <w:rPr>
                <w:rFonts w:hint="eastAsia" w:ascii="宋体" w:hAnsi="宋体" w:eastAsia="宋体" w:cs="宋体"/>
                <w:szCs w:val="21"/>
                <w:lang w:val="en-US" w:eastAsia="zh-CN"/>
              </w:rPr>
              <w:t>稳压电源、热风枪、</w:t>
            </w:r>
            <w:r>
              <w:rPr>
                <w:rFonts w:hint="eastAsia" w:ascii="宋体" w:hAnsi="宋体" w:cs="宋体"/>
                <w:szCs w:val="21"/>
              </w:rPr>
              <w:t>电脑及办公设备（含传真机、打印机等）和空调等</w:t>
            </w:r>
            <w:r>
              <w:rPr>
                <w:rFonts w:hint="eastAsia" w:ascii="宋体" w:hAnsi="宋体"/>
                <w:szCs w:val="21"/>
              </w:rPr>
              <w:t>设备，可以满足计算机应用软件的开发及服务；电力系统智能输变信息、配电信息、用电信息采集用控制模块的设计、生产、销售的需要</w:t>
            </w:r>
            <w:r>
              <w:rPr>
                <w:rFonts w:hint="eastAsia" w:ascii="宋体" w:hAnsi="宋体" w:cs="宋体"/>
                <w:szCs w:val="21"/>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cs="宋体"/>
                <w:szCs w:val="21"/>
                <w:lang w:eastAsia="zh-CN"/>
              </w:rPr>
              <w:t>、销售</w:t>
            </w:r>
            <w:r>
              <w:rPr>
                <w:rFonts w:hint="eastAsia" w:ascii="宋体" w:hAnsi="宋体" w:cs="宋体"/>
                <w:szCs w:val="21"/>
              </w:rPr>
              <w:t>及</w:t>
            </w:r>
            <w:r>
              <w:rPr>
                <w:rFonts w:hint="eastAsia" w:ascii="宋体" w:hAnsi="宋体" w:cs="宋体"/>
                <w:szCs w:val="21"/>
                <w:lang w:eastAsia="zh-CN"/>
              </w:rPr>
              <w:t>生产</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hAnsi="宋体" w:cs="宋体"/>
              </w:rPr>
              <w:t>配置有</w:t>
            </w:r>
            <w:r>
              <w:rPr>
                <w:rFonts w:hint="eastAsia" w:ascii="宋体" w:hAnsi="宋体"/>
                <w:color w:val="000000"/>
                <w:szCs w:val="21"/>
                <w:lang w:eastAsia="zh-CN"/>
              </w:rPr>
              <w:t>万用表</w:t>
            </w:r>
            <w:r>
              <w:rPr>
                <w:rFonts w:hint="eastAsia" w:ascii="宋体"/>
                <w:color w:val="000000"/>
                <w:sz w:val="20"/>
                <w:szCs w:val="20"/>
              </w:rPr>
              <w:t>、</w:t>
            </w:r>
            <w:r>
              <w:rPr>
                <w:rFonts w:hint="eastAsia" w:ascii="宋体"/>
                <w:color w:val="000000"/>
                <w:sz w:val="20"/>
                <w:szCs w:val="20"/>
                <w:lang w:eastAsia="zh-CN"/>
              </w:rPr>
              <w:t>示波器</w:t>
            </w:r>
            <w:r>
              <w:rPr>
                <w:rFonts w:hint="eastAsia" w:ascii="宋体"/>
                <w:color w:val="000000"/>
                <w:sz w:val="20"/>
                <w:szCs w:val="20"/>
              </w:rPr>
              <w:t>、</w:t>
            </w:r>
            <w:r>
              <w:rPr>
                <w:rFonts w:hint="eastAsia" w:ascii="宋体" w:hAnsi="宋体"/>
                <w:color w:val="000000"/>
                <w:szCs w:val="21"/>
                <w:lang w:eastAsia="zh-CN"/>
              </w:rPr>
              <w:t>游标卡尺</w:t>
            </w:r>
            <w:r>
              <w:rPr>
                <w:rFonts w:hint="eastAsia" w:ascii="宋体"/>
                <w:color w:val="000000"/>
                <w:sz w:val="20"/>
                <w:szCs w:val="20"/>
              </w:rPr>
              <w:t>等</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噪声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rPr>
              <w:t>触电</w:t>
            </w:r>
            <w:r>
              <w:rPr>
                <w:rFonts w:hint="eastAsia" w:asciiTheme="minorEastAsia" w:hAnsiTheme="minorEastAsia" w:eastAsiaTheme="minorEastAsia"/>
                <w:bCs/>
                <w:iCs/>
                <w:lang w:eastAsia="zh-CN"/>
              </w:rPr>
              <w:t>；机械</w:t>
            </w:r>
            <w:r>
              <w:rPr>
                <w:rFonts w:hint="eastAsia" w:asciiTheme="minorEastAsia" w:hAnsiTheme="minorEastAsia" w:eastAsiaTheme="minorEastAsia"/>
                <w:bCs/>
                <w:iCs/>
              </w:rPr>
              <w:t>伤害</w:t>
            </w:r>
            <w:r>
              <w:rPr>
                <w:rFonts w:hint="eastAsia" w:asciiTheme="minorEastAsia" w:hAnsiTheme="minorEastAsia" w:eastAsiaTheme="minorEastAsia"/>
                <w:bCs/>
                <w:iCs/>
                <w:lang w:eastAsia="zh-CN"/>
              </w:rPr>
              <w:t>、碰伤、中暑、交通事故</w:t>
            </w:r>
            <w:r>
              <w:rPr>
                <w:rFonts w:hint="eastAsia" w:asciiTheme="minorEastAsia" w:hAnsiTheme="minorEastAsia" w:eastAsiaTheme="minorEastAsia"/>
                <w:bCs/>
                <w:iCs/>
              </w:rPr>
              <w:t>等），与之相关的过程有设计、</w:t>
            </w:r>
            <w:r>
              <w:rPr>
                <w:rFonts w:hint="eastAsia" w:asciiTheme="minorEastAsia" w:hAnsiTheme="minorEastAsia" w:eastAsiaTheme="minorEastAsia"/>
                <w:bCs/>
                <w:iCs/>
                <w:lang w:eastAsia="zh-CN"/>
              </w:rPr>
              <w:t>组装、检验</w:t>
            </w:r>
            <w:r>
              <w:rPr>
                <w:rFonts w:hint="eastAsia" w:asciiTheme="minorEastAsia" w:hAnsiTheme="minorEastAsia" w:eastAsiaTheme="minorEastAsia"/>
                <w:bCs/>
                <w:iCs/>
              </w:rPr>
              <w:t>、销售、技术服务过程，针对不可接受风险制定了管理方案。控制措施实施有效。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月至2020年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highlight w:val="none"/>
              </w:rPr>
              <w:t>涉及</w:t>
            </w:r>
            <w:r>
              <w:rPr>
                <w:rFonts w:hint="eastAsia" w:ascii="宋体" w:hAnsi="宋体" w:cs="宋体"/>
                <w:szCs w:val="21"/>
                <w:highlight w:val="none"/>
                <w:lang w:eastAsia="zh-CN"/>
              </w:rPr>
              <w:t>行政</w:t>
            </w:r>
            <w:r>
              <w:rPr>
                <w:rFonts w:hint="eastAsia" w:ascii="宋体" w:hAnsi="宋体" w:cs="宋体"/>
                <w:szCs w:val="21"/>
                <w:highlight w:val="none"/>
              </w:rPr>
              <w:t>部</w:t>
            </w:r>
            <w:r>
              <w:rPr>
                <w:rFonts w:hint="eastAsia" w:ascii="宋体" w:hAnsi="宋体" w:cs="宋体"/>
                <w:szCs w:val="21"/>
                <w:highlight w:val="none"/>
                <w:lang w:val="en-US" w:eastAsia="zh-CN"/>
              </w:rPr>
              <w:t>Q/</w:t>
            </w:r>
            <w:r>
              <w:rPr>
                <w:rFonts w:hint="eastAsia" w:ascii="宋体" w:hAnsi="宋体" w:cs="宋体"/>
                <w:szCs w:val="21"/>
                <w:highlight w:val="none"/>
              </w:rPr>
              <w:t>E</w:t>
            </w:r>
            <w:r>
              <w:rPr>
                <w:rFonts w:hint="eastAsia" w:ascii="宋体" w:hAnsi="宋体" w:cs="宋体"/>
                <w:szCs w:val="21"/>
                <w:highlight w:val="none"/>
                <w:lang w:val="en-US" w:eastAsia="zh-CN"/>
              </w:rPr>
              <w:t>/</w:t>
            </w:r>
            <w:r>
              <w:rPr>
                <w:rFonts w:hint="eastAsia" w:ascii="宋体" w:hAnsi="宋体" w:cs="宋体"/>
                <w:szCs w:val="21"/>
                <w:highlight w:val="none"/>
              </w:rPr>
              <w:t>S</w:t>
            </w:r>
            <w:r>
              <w:rPr>
                <w:highlight w:val="none"/>
              </w:rPr>
              <w:t>7.</w:t>
            </w:r>
            <w:r>
              <w:rPr>
                <w:rFonts w:hint="eastAsia"/>
                <w:highlight w:val="none"/>
                <w:lang w:val="en-US" w:eastAsia="zh-CN"/>
              </w:rPr>
              <w:t>5.3</w:t>
            </w:r>
            <w:r>
              <w:rPr>
                <w:rFonts w:hint="eastAsia" w:ascii="宋体" w:hAnsi="宋体" w:cs="宋体"/>
                <w:szCs w:val="21"/>
                <w:highlight w:val="none"/>
              </w:rPr>
              <w:t>条款</w:t>
            </w:r>
            <w:r>
              <w:rPr>
                <w:rFonts w:hint="eastAsia" w:ascii="宋体" w:hAnsi="宋体" w:cs="宋体"/>
                <w:szCs w:val="21"/>
                <w:highlight w:val="none"/>
                <w:lang w:val="en-US" w:eastAsia="zh-CN"/>
              </w:rPr>
              <w:t>未保管好文件，致使记录清单遗失</w:t>
            </w:r>
            <w:r>
              <w:rPr>
                <w:rFonts w:hint="eastAsia" w:ascii="宋体" w:hAnsi="宋体" w:cs="宋体"/>
                <w:szCs w:val="21"/>
                <w:highlight w:val="none"/>
              </w:rPr>
              <w:t>，</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月3</w:t>
            </w:r>
            <w:r>
              <w:rPr>
                <w:rFonts w:hint="eastAsia" w:ascii="宋体" w:hAnsi="宋体"/>
                <w:szCs w:val="21"/>
                <w:lang w:val="en-US" w:eastAsia="zh-CN"/>
              </w:rPr>
              <w:t>7</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行政部</w:t>
      </w:r>
      <w:r>
        <w:rPr>
          <w:rFonts w:hint="eastAsia"/>
          <w:b/>
          <w:highlight w:val="none"/>
        </w:rPr>
        <w:t>ES7.2条款，分布见附件。（Q/J/E/S分开填写）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sz w:val="26"/>
                <w:szCs w:val="26"/>
              </w:rPr>
              <w:t>■</w:t>
            </w:r>
            <w:r>
              <w:rPr>
                <w:rFonts w:hint="eastAsia"/>
                <w:b/>
                <w:color w:val="000000" w:themeColor="text1"/>
              </w:rPr>
              <w:t>审核范围变更，（</w:t>
            </w:r>
            <w:r>
              <w:rPr>
                <w:rFonts w:hint="eastAsia" w:ascii="宋体" w:hAnsi="宋体"/>
                <w:b/>
                <w:color w:val="000000" w:themeColor="text1"/>
              </w:rPr>
              <w:t>设计开发改为设计、研发</w:t>
            </w:r>
            <w:r>
              <w:rPr>
                <w:rFonts w:hint="eastAsia"/>
                <w:b/>
                <w:color w:val="000000" w:themeColor="text1"/>
              </w:rPr>
              <w:t>）</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b/>
                <w:color w:val="000000" w:themeColor="text1"/>
              </w:rPr>
            </w:pPr>
            <w:r>
              <w:rPr>
                <w:rFonts w:hint="eastAsia"/>
                <w:b/>
                <w:color w:val="000000" w:themeColor="text1"/>
              </w:rPr>
              <w:t>EMS: 计算机应用软件的开发及服务；电力系统智能输变信息、配电信息、用电信息采集用控制模块的设计、生产、销售（涉及资质许可除外）所涉及的环境管理体系活动。</w:t>
            </w:r>
          </w:p>
          <w:p>
            <w:pPr>
              <w:rPr>
                <w:rFonts w:hint="eastAsia"/>
                <w:b/>
                <w:color w:val="000000" w:themeColor="text1"/>
              </w:rPr>
            </w:pPr>
            <w:r>
              <w:rPr>
                <w:rFonts w:hint="eastAsia"/>
                <w:b/>
                <w:color w:val="000000" w:themeColor="text1"/>
              </w:rPr>
              <w:t>OHSMS:计算机应用软件的开发及服务；电力系统智能输变信息、配电信息、用电信息采集用控制模块的设计、生产、销售（涉及资质许可除外）所涉及的职业健康安全管理活动。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：这次为远程审核，后续安排现场确认审核。</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798528" behindDoc="0" locked="0" layoutInCell="1" allowOverlap="1">
            <wp:simplePos x="0" y="0"/>
            <wp:positionH relativeFrom="column">
              <wp:posOffset>4002405</wp:posOffset>
            </wp:positionH>
            <wp:positionV relativeFrom="paragraph">
              <wp:posOffset>189230</wp:posOffset>
            </wp:positionV>
            <wp:extent cx="819785" cy="513080"/>
            <wp:effectExtent l="0" t="0" r="3175" b="5080"/>
            <wp:wrapNone/>
            <wp:docPr id="7"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新文档 2020-01-09 10.59.53_副本.jpg"/>
                    <pic:cNvPicPr>
                      <a:picLocks noChangeAspect="1" noChangeArrowheads="1"/>
                    </pic:cNvPicPr>
                  </pic:nvPicPr>
                  <pic:blipFill>
                    <a:blip r:embed="rId6" cstate="print"/>
                    <a:srcRect/>
                    <a:stretch>
                      <a:fillRect/>
                    </a:stretch>
                  </pic:blipFill>
                  <pic:spPr>
                    <a:xfrm>
                      <a:off x="0" y="0"/>
                      <a:ext cx="819785" cy="513080"/>
                    </a:xfrm>
                    <a:prstGeom prst="rect">
                      <a:avLst/>
                    </a:prstGeom>
                    <a:noFill/>
                    <a:ln w="9525">
                      <a:noFill/>
                      <a:miter lim="800000"/>
                      <a:headEnd/>
                      <a:tailEnd/>
                    </a:ln>
                  </pic:spPr>
                </pic:pic>
              </a:graphicData>
            </a:graphic>
          </wp:anchor>
        </w:drawing>
      </w:r>
      <w:r>
        <w:rPr>
          <w:b/>
          <w:color w:val="000000" w:themeColor="text1"/>
          <w:sz w:val="26"/>
          <w:szCs w:val="26"/>
        </w:rPr>
        <w:drawing>
          <wp:anchor distT="0" distB="0" distL="0" distR="0" simplePos="0" relativeHeight="251673600" behindDoc="0" locked="0" layoutInCell="1" allowOverlap="1">
            <wp:simplePos x="0" y="0"/>
            <wp:positionH relativeFrom="column">
              <wp:posOffset>1531620</wp:posOffset>
            </wp:positionH>
            <wp:positionV relativeFrom="paragraph">
              <wp:posOffset>301625</wp:posOffset>
            </wp:positionV>
            <wp:extent cx="751205" cy="467995"/>
            <wp:effectExtent l="0" t="0" r="10795" b="4445"/>
            <wp:wrapNone/>
            <wp:docPr id="1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新文档 2020-01-09 10"/>
                    <pic:cNvPicPr>
                      <a:picLocks noChangeAspect="1" noChangeArrowheads="1"/>
                    </pic:cNvPicPr>
                  </pic:nvPicPr>
                  <pic:blipFill>
                    <a:blip r:embed="rId7" cstate="print"/>
                    <a:srcRect/>
                    <a:stretch>
                      <a:fillRect/>
                    </a:stretch>
                  </pic:blipFill>
                  <pic:spPr>
                    <a:xfrm>
                      <a:off x="0" y="0"/>
                      <a:ext cx="751205" cy="46799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0" w:leftChars="-32" w:hanging="57" w:hangingChars="26"/>
        <w:rPr>
          <w:b/>
          <w:color w:val="000000" w:themeColor="text1"/>
          <w:sz w:val="26"/>
          <w:szCs w:val="26"/>
        </w:rPr>
      </w:pPr>
      <w:r>
        <w:rPr>
          <w:rFonts w:hint="eastAsia" w:eastAsia="宋体"/>
          <w:sz w:val="22"/>
          <w:szCs w:val="22"/>
          <w:lang w:eastAsia="zh-CN"/>
        </w:rPr>
        <w:drawing>
          <wp:anchor distT="0" distB="0" distL="114300" distR="114300" simplePos="0" relativeHeight="251832320" behindDoc="0" locked="0" layoutInCell="1" allowOverlap="1">
            <wp:simplePos x="0" y="0"/>
            <wp:positionH relativeFrom="column">
              <wp:posOffset>5447030</wp:posOffset>
            </wp:positionH>
            <wp:positionV relativeFrom="paragraph">
              <wp:posOffset>337820</wp:posOffset>
            </wp:positionV>
            <wp:extent cx="621030" cy="309880"/>
            <wp:effectExtent l="0" t="0" r="3810" b="1016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a:srcRect l="10377" t="24118" r="4335" b="17353"/>
                    <a:stretch>
                      <a:fillRect/>
                    </a:stretch>
                  </pic:blipFill>
                  <pic:spPr>
                    <a:xfrm>
                      <a:off x="0" y="0"/>
                      <a:ext cx="621030" cy="309880"/>
                    </a:xfrm>
                    <a:prstGeom prst="rect">
                      <a:avLst/>
                    </a:prstGeom>
                  </pic:spPr>
                </pic:pic>
              </a:graphicData>
            </a:graphic>
          </wp:anchor>
        </w:drawing>
      </w:r>
      <w:r>
        <w:rPr>
          <w:rFonts w:hint="eastAsia" w:eastAsia="宋体"/>
          <w:lang w:eastAsia="zh-CN"/>
        </w:rPr>
        <w:drawing>
          <wp:anchor distT="0" distB="0" distL="114300" distR="114300" simplePos="0" relativeHeight="251819008" behindDoc="0" locked="0" layoutInCell="1" allowOverlap="1">
            <wp:simplePos x="0" y="0"/>
            <wp:positionH relativeFrom="column">
              <wp:posOffset>4547235</wp:posOffset>
            </wp:positionH>
            <wp:positionV relativeFrom="paragraph">
              <wp:posOffset>351790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a:stretch>
                      <a:fillRect/>
                    </a:stretch>
                  </pic:blipFill>
                  <pic:spPr>
                    <a:xfrm>
                      <a:off x="0" y="0"/>
                      <a:ext cx="722630" cy="33020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810816" behindDoc="0" locked="0" layoutInCell="1" allowOverlap="1">
            <wp:simplePos x="0" y="0"/>
            <wp:positionH relativeFrom="column">
              <wp:posOffset>3627120</wp:posOffset>
            </wp:positionH>
            <wp:positionV relativeFrom="paragraph">
              <wp:posOffset>349885</wp:posOffset>
            </wp:positionV>
            <wp:extent cx="812165" cy="275590"/>
            <wp:effectExtent l="0" t="0" r="10795" b="13970"/>
            <wp:wrapNone/>
            <wp:docPr id="3" name="图片 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b/>
          <w:color w:val="000000" w:themeColor="text1"/>
          <w:sz w:val="26"/>
          <w:szCs w:val="26"/>
        </w:rPr>
        <w:drawing>
          <wp:anchor distT="0" distB="0" distL="0" distR="0" simplePos="0" relativeHeight="251674624" behindDoc="0" locked="0" layoutInCell="1" allowOverlap="1">
            <wp:simplePos x="0" y="0"/>
            <wp:positionH relativeFrom="column">
              <wp:posOffset>1525905</wp:posOffset>
            </wp:positionH>
            <wp:positionV relativeFrom="paragraph">
              <wp:posOffset>297815</wp:posOffset>
            </wp:positionV>
            <wp:extent cx="471170" cy="487680"/>
            <wp:effectExtent l="0" t="0" r="1270" b="0"/>
            <wp:wrapNone/>
            <wp:docPr id="12" name="图片 4" descr="新文档 2019-09-04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新文档 2019-09-04 21"/>
                    <pic:cNvPicPr>
                      <a:picLocks noChangeAspect="1" noChangeArrowheads="1"/>
                    </pic:cNvPicPr>
                  </pic:nvPicPr>
                  <pic:blipFill>
                    <a:blip r:embed="rId11" cstate="print"/>
                    <a:srcRect/>
                    <a:stretch>
                      <a:fillRect/>
                    </a:stretch>
                  </pic:blipFill>
                  <pic:spPr>
                    <a:xfrm>
                      <a:off x="0" y="0"/>
                      <a:ext cx="471170" cy="48768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afterLines="50" w:line="360" w:lineRule="auto"/>
        <w:ind w:left="143" w:leftChars="68" w:firstLine="3103" w:firstLineChars="1472"/>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2021</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10</w:t>
      </w:r>
      <w:bookmarkStart w:id="23" w:name="_GoBack"/>
      <w:bookmarkEnd w:id="23"/>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 xml:space="preserve">EMS( 1  )个一般不符合，( 0 )个严重不符合， </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OHSMS( 1  )个一般不符合，( 0 )个严重不符合，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highlight w:val="none"/>
        </w:rPr>
      </w:pPr>
    </w:p>
    <w:p>
      <w:pPr>
        <w:spacing w:afterLines="50"/>
        <w:ind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zCs w:val="21"/>
          <w:highlight w:val="none"/>
        </w:rPr>
        <w:t xml:space="preserve">推荐注册      □不推荐注册     </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Lines="100" w:afterLines="50"/>
        <w:rPr>
          <w:b/>
          <w:color w:val="000000" w:themeColor="text1"/>
          <w:szCs w:val="21"/>
          <w:highlight w:val="none"/>
        </w:rPr>
      </w:pPr>
      <w:r>
        <w:rPr>
          <w:b/>
          <w:color w:val="000000" w:themeColor="text1"/>
          <w:szCs w:val="21"/>
          <w:highlight w:val="none"/>
        </w:rPr>
        <w:drawing>
          <wp:anchor distT="0" distB="0" distL="0" distR="0" simplePos="0" relativeHeight="251675648" behindDoc="0" locked="0" layoutInCell="1" allowOverlap="1">
            <wp:simplePos x="0" y="0"/>
            <wp:positionH relativeFrom="column">
              <wp:posOffset>676275</wp:posOffset>
            </wp:positionH>
            <wp:positionV relativeFrom="paragraph">
              <wp:posOffset>81915</wp:posOffset>
            </wp:positionV>
            <wp:extent cx="739775" cy="461010"/>
            <wp:effectExtent l="0" t="0" r="6985" b="11430"/>
            <wp:wrapNone/>
            <wp:docPr id="13"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新文档 2020-01-09 10"/>
                    <pic:cNvPicPr>
                      <a:picLocks noChangeAspect="1" noChangeArrowheads="1"/>
                    </pic:cNvPicPr>
                  </pic:nvPicPr>
                  <pic:blipFill>
                    <a:blip r:embed="rId7" cstate="print"/>
                    <a:srcRect/>
                    <a:stretch>
                      <a:fillRect/>
                    </a:stretch>
                  </pic:blipFill>
                  <pic:spPr>
                    <a:xfrm>
                      <a:off x="0" y="0"/>
                      <a:ext cx="739775" cy="461010"/>
                    </a:xfrm>
                    <a:prstGeom prst="rect">
                      <a:avLst/>
                    </a:prstGeom>
                    <a:noFill/>
                    <a:ln w="9525">
                      <a:noFill/>
                      <a:miter lim="800000"/>
                      <a:headEnd/>
                      <a:tailEnd/>
                    </a:ln>
                  </pic:spPr>
                </pic:pic>
              </a:graphicData>
            </a:graphic>
          </wp:anchor>
        </w:drawing>
      </w:r>
      <w:r>
        <w:rPr>
          <w:rFonts w:hint="eastAsia"/>
          <w:b/>
          <w:color w:val="000000" w:themeColor="text1"/>
          <w:szCs w:val="21"/>
          <w:highlight w:val="none"/>
        </w:rPr>
        <w:t>组长签字:                               日期:  2020 年</w:t>
      </w:r>
      <w:r>
        <w:rPr>
          <w:rFonts w:hint="eastAsia"/>
          <w:b/>
          <w:color w:val="000000" w:themeColor="text1"/>
          <w:szCs w:val="21"/>
          <w:highlight w:val="none"/>
          <w:lang w:val="en-US" w:eastAsia="zh-CN"/>
        </w:rPr>
        <w:t>5</w:t>
      </w:r>
      <w:r>
        <w:rPr>
          <w:rFonts w:hint="eastAsia"/>
          <w:b/>
          <w:color w:val="000000" w:themeColor="text1"/>
          <w:szCs w:val="21"/>
          <w:highlight w:val="none"/>
        </w:rPr>
        <w:t xml:space="preserve">月 </w:t>
      </w:r>
      <w:r>
        <w:rPr>
          <w:rFonts w:hint="eastAsia"/>
          <w:b/>
          <w:color w:val="000000" w:themeColor="text1"/>
          <w:szCs w:val="21"/>
          <w:highlight w:val="none"/>
          <w:lang w:val="en-US" w:eastAsia="zh-CN"/>
        </w:rPr>
        <w:t>6</w:t>
      </w:r>
      <w:r>
        <w:rPr>
          <w:rFonts w:hint="eastAsia"/>
          <w:b/>
          <w:color w:val="000000" w:themeColor="text1"/>
          <w:szCs w:val="21"/>
          <w:highlight w:val="none"/>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4B1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2021-01-10T09:55:29Z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