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bookmarkStart w:id="0" w:name="合同编号"/>
      <w:r>
        <w:rPr>
          <w:rFonts w:hint="eastAsia"/>
          <w:b/>
          <w:bCs/>
          <w:sz w:val="24"/>
          <w:szCs w:val="24"/>
          <w:lang w:val="en-US" w:eastAsia="zh-CN"/>
        </w:rPr>
        <w:t>编号：</w:t>
      </w:r>
      <w:r>
        <w:rPr>
          <w:b/>
          <w:bCs/>
          <w:sz w:val="24"/>
          <w:szCs w:val="24"/>
        </w:rPr>
        <w:t>0753-2020-EO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德阳中大电力成套设备制造有限公司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E:17.10.02</w:t>
            </w:r>
          </w:p>
          <w:p>
            <w:pPr>
              <w:spacing w:line="240" w:lineRule="exact"/>
              <w:jc w:val="center"/>
              <w:rPr>
                <w:b/>
                <w:color w:val="000000" w:themeColor="text1"/>
                <w:sz w:val="20"/>
                <w:szCs w:val="20"/>
              </w:rPr>
            </w:pPr>
            <w:r>
              <w:rPr>
                <w:b/>
                <w:color w:val="000000" w:themeColor="text1"/>
                <w:sz w:val="20"/>
                <w:szCs w:val="20"/>
              </w:rPr>
              <w:t>O:17.10.02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E：GB/T 24001-2016/ISO14001:2015,O：GB/T45001-2020 / ISO45001：2018</w:t>
      </w:r>
      <w:bookmarkEnd w:id="5"/>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德阳中大电力成套设备制造有限公司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四川省德阳市旌阳区天元镇九龙江路66号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618019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四川省德阳市旌阳区天元镇九龙江路66号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618019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郭伟</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0838-2233213</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唐瑞雪</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唐瑞雪</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韩成蓉</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E：一般机械加工所涉及场所的相关环境管理活动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O：一般机械加工所涉及场所的相关职业健康安全管理活动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E：17.10.02</w:t>
            </w:r>
          </w:p>
          <w:p>
            <w:pPr>
              <w:spacing w:line="320" w:lineRule="exact"/>
              <w:rPr>
                <w:rFonts w:ascii="宋体" w:hAnsi="宋体"/>
                <w:b/>
                <w:color w:val="000000" w:themeColor="text1"/>
                <w:sz w:val="20"/>
                <w:szCs w:val="20"/>
              </w:rPr>
            </w:pPr>
            <w:r>
              <w:rPr>
                <w:rFonts w:ascii="宋体" w:hAnsi="宋体"/>
                <w:b/>
                <w:color w:val="000000" w:themeColor="text1"/>
                <w:sz w:val="20"/>
                <w:szCs w:val="20"/>
              </w:rPr>
              <w:t>O：17.10.02</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2020-05-10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综合部（</w:t>
            </w:r>
            <w:r>
              <w:rPr>
                <w:rFonts w:hint="eastAsia" w:ascii="宋体" w:hAnsi="宋体"/>
                <w:b/>
                <w:color w:val="000000" w:themeColor="text1"/>
                <w:sz w:val="20"/>
                <w:szCs w:val="20"/>
                <w:lang w:val="en-US" w:eastAsia="zh-CN"/>
              </w:rPr>
              <w:t>含财务）</w:t>
            </w:r>
          </w:p>
        </w:tc>
        <w:tc>
          <w:tcPr>
            <w:tcW w:w="6804" w:type="dxa"/>
            <w:vAlign w:val="top"/>
          </w:tcPr>
          <w:p>
            <w:pPr>
              <w:jc w:val="center"/>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生产部</w:t>
            </w:r>
          </w:p>
        </w:tc>
        <w:tc>
          <w:tcPr>
            <w:tcW w:w="6804" w:type="dxa"/>
            <w:vAlign w:val="top"/>
          </w:tcPr>
          <w:p>
            <w:pPr>
              <w:jc w:val="center"/>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纠正和预防措施控制；策划管理；过程监控管理；服务过程管理；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质量部</w:t>
            </w:r>
          </w:p>
        </w:tc>
        <w:tc>
          <w:tcPr>
            <w:tcW w:w="6804" w:type="dxa"/>
            <w:vAlign w:val="top"/>
          </w:tcPr>
          <w:p>
            <w:pPr>
              <w:jc w:val="center"/>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不合格品控制；监视和测量设备管理；设备设施管理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eastAsia="zh-CN"/>
              </w:rPr>
              <w:t>市场部</w:t>
            </w:r>
          </w:p>
        </w:tc>
        <w:tc>
          <w:tcPr>
            <w:tcW w:w="6804" w:type="dxa"/>
            <w:vAlign w:val="top"/>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eastAsia="zh-CN"/>
              </w:rPr>
              <w:t>一般机械加工</w:t>
            </w:r>
          </w:p>
        </w:tc>
        <w:tc>
          <w:tcPr>
            <w:tcW w:w="2519" w:type="dxa"/>
            <w:vAlign w:val="top"/>
          </w:tcPr>
          <w:p>
            <w:pPr>
              <w:rPr>
                <w:rFonts w:ascii="Times New Roman" w:hAnsi="Times New Roman" w:eastAsia="宋体" w:cs="Times New Roman"/>
                <w:b/>
                <w:color w:val="000000" w:themeColor="text1"/>
                <w:kern w:val="2"/>
                <w:sz w:val="20"/>
                <w:szCs w:val="20"/>
                <w:lang w:val="en-US" w:eastAsia="zh-CN" w:bidi="ar-SA"/>
              </w:rPr>
            </w:pP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eastAsia="宋体"/>
                <w:b/>
                <w:color w:val="000000" w:themeColor="text1"/>
                <w:sz w:val="20"/>
                <w:szCs w:val="20"/>
                <w:lang w:eastAsia="zh-CN"/>
              </w:rPr>
              <w:t>JB/T 9168.1-1998械加工工艺总则、GB/T 1804-2000</w:t>
            </w:r>
            <w:r>
              <w:rPr>
                <w:rFonts w:hint="eastAsia" w:eastAsia="宋体"/>
                <w:b/>
                <w:color w:val="000000" w:themeColor="text1"/>
                <w:sz w:val="20"/>
                <w:szCs w:val="20"/>
                <w:lang w:val="en-US" w:eastAsia="zh-CN"/>
              </w:rPr>
              <w:t xml:space="preserve"> 一般公差 未注公差的线性和角度尺寸的公差</w:t>
            </w:r>
            <w:r>
              <w:rPr>
                <w:rFonts w:hint="eastAsia" w:eastAsia="宋体"/>
                <w:b/>
                <w:color w:val="000000" w:themeColor="text1"/>
                <w:sz w:val="20"/>
                <w:szCs w:val="20"/>
                <w:lang w:eastAsia="zh-CN"/>
              </w:rPr>
              <w:t>、客户要求（图纸）</w:t>
            </w:r>
            <w:r>
              <w:rPr>
                <w:rFonts w:hint="eastAsia" w:eastAsia="宋体"/>
                <w:b/>
                <w:color w:val="000000" w:themeColor="text1"/>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ascii="黑体" w:hAnsi="黑体" w:eastAsia="黑体" w:cs="黑体"/>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both"/>
              <w:rPr>
                <w:rFonts w:ascii="华文行楷" w:eastAsia="华文行楷"/>
                <w:b w:val="0"/>
                <w:bCs w:val="0"/>
                <w:sz w:val="21"/>
                <w:szCs w:val="2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cs="宋体"/>
                <w:szCs w:val="21"/>
                <w:lang w:val="en-US" w:eastAsia="zh-CN"/>
              </w:rPr>
              <w:t>质量、</w:t>
            </w:r>
            <w:r>
              <w:rPr>
                <w:rFonts w:hint="eastAsia" w:ascii="宋体" w:hAnsi="宋体" w:cs="宋体"/>
                <w:szCs w:val="21"/>
              </w:rPr>
              <w:t xml:space="preserve">环境和职业健康安全管理方针： </w:t>
            </w:r>
            <w:r>
              <w:rPr>
                <w:rFonts w:hint="eastAsia" w:ascii="宋体" w:hAnsi="宋体" w:cs="宋体"/>
                <w:b w:val="0"/>
                <w:bCs w:val="0"/>
                <w:kern w:val="0"/>
                <w:sz w:val="21"/>
                <w:szCs w:val="21"/>
                <w:lang w:val="en-US" w:eastAsia="zh-CN" w:bidi="ar-SA"/>
              </w:rPr>
              <w:t>“</w:t>
            </w:r>
            <w:r>
              <w:rPr>
                <w:rFonts w:ascii="宋体" w:hAnsi="宋体" w:eastAsia="宋体" w:cs="宋体"/>
                <w:b w:val="0"/>
                <w:bCs w:val="0"/>
                <w:kern w:val="0"/>
                <w:sz w:val="21"/>
                <w:szCs w:val="21"/>
                <w:lang w:val="en-US" w:eastAsia="zh-CN" w:bidi="ar-SA"/>
              </w:rPr>
              <w:t>以</w:t>
            </w:r>
            <w:r>
              <w:rPr>
                <w:rFonts w:hint="eastAsia" w:ascii="宋体" w:hAnsi="宋体" w:eastAsia="宋体" w:cs="宋体"/>
                <w:b w:val="0"/>
                <w:bCs w:val="0"/>
                <w:kern w:val="0"/>
                <w:sz w:val="21"/>
                <w:szCs w:val="21"/>
                <w:lang w:val="en-US" w:eastAsia="zh-CN" w:bidi="ar-SA"/>
              </w:rPr>
              <w:t>服务快捷、加工优良、持续改进</w:t>
            </w:r>
            <w:r>
              <w:rPr>
                <w:rFonts w:ascii="宋体" w:hAnsi="宋体" w:eastAsia="宋体" w:cs="宋体"/>
                <w:b w:val="0"/>
                <w:bCs w:val="0"/>
                <w:kern w:val="0"/>
                <w:sz w:val="21"/>
                <w:szCs w:val="21"/>
                <w:lang w:val="en-US" w:eastAsia="zh-CN" w:bidi="ar-SA"/>
              </w:rPr>
              <w:t>、满足顾客需求；以安全生产、保护环境、守法诚信、体现社会责任</w:t>
            </w:r>
            <w:r>
              <w:rPr>
                <w:rFonts w:hint="eastAsia" w:ascii="宋体" w:hAnsi="宋体" w:cs="宋体"/>
                <w:b w:val="0"/>
                <w:bCs w:val="0"/>
                <w:kern w:val="0"/>
                <w:sz w:val="21"/>
                <w:szCs w:val="21"/>
                <w:lang w:val="en-US" w:eastAsia="zh-CN" w:bidi="ar-SA"/>
              </w:rPr>
              <w:t>”。</w:t>
            </w:r>
          </w:p>
          <w:p>
            <w:pPr>
              <w:ind w:firstLine="474" w:firstLineChars="22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green"/>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6745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643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废水控制、噪声控制、粉尘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组织建立了危险源识别、评价控制程序，识别评价了危险源、风险相关的过程，评价出了重要危险源，与之相关的过程有啤酒生产、检测，针对重要危险源制定了管理方案。控制措施实施有效。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9. 目标、方案</w:t>
            </w:r>
          </w:p>
          <w:p>
            <w:pPr>
              <w:spacing w:line="300" w:lineRule="exact"/>
            </w:pPr>
            <w:r>
              <w:rPr>
                <w:rFonts w:hint="eastAsia"/>
              </w:rPr>
              <w:t>（在相关层次上建立可测量的目标，目标、方案的有效性，对质量目标的实现情况进行评价并叙述测量方法）</w:t>
            </w:r>
          </w:p>
          <w:p>
            <w:pPr>
              <w:spacing w:line="300" w:lineRule="exact"/>
              <w:ind w:firstLine="420" w:firstLineChars="200"/>
            </w:pPr>
            <w:r>
              <w:rPr>
                <w:rFonts w:hint="eastAsia"/>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525" w:firstLineChars="250"/>
              <w:rPr>
                <w:rFonts w:hint="default" w:eastAsia="宋体"/>
                <w:highlight w:val="none"/>
                <w:lang w:val="en-US" w:eastAsia="zh-CN"/>
              </w:rPr>
            </w:pPr>
            <w:r>
              <w:rPr>
                <w:rFonts w:hint="eastAsia"/>
                <w:highlight w:val="none"/>
              </w:rPr>
              <w:t>环境、职业健康安全目标：</w:t>
            </w:r>
            <w:r>
              <w:rPr>
                <w:rFonts w:hint="eastAsia"/>
                <w:highlight w:val="none"/>
                <w:lang w:eastAsia="zh-CN"/>
              </w:rPr>
              <w:t>（考核时间</w:t>
            </w:r>
            <w:r>
              <w:rPr>
                <w:rFonts w:hint="eastAsia"/>
                <w:highlight w:val="none"/>
                <w:lang w:val="en-US" w:eastAsia="zh-CN"/>
              </w:rPr>
              <w:t>2020年5月-12月）</w:t>
            </w:r>
          </w:p>
          <w:p>
            <w:pPr>
              <w:numPr>
                <w:ilvl w:val="0"/>
                <w:numId w:val="3"/>
              </w:numPr>
              <w:snapToGrid w:val="0"/>
              <w:rPr>
                <w:rFonts w:hint="eastAsia" w:ascii="宋体" w:hAnsi="宋体" w:cs="宋体"/>
                <w:b w:val="0"/>
                <w:bCs/>
                <w:kern w:val="0"/>
                <w:sz w:val="21"/>
                <w:szCs w:val="21"/>
                <w:highlight w:val="none"/>
                <w:lang w:val="en-US" w:eastAsia="zh-CN"/>
              </w:rPr>
            </w:pPr>
            <w:r>
              <w:rPr>
                <w:rFonts w:hint="eastAsia"/>
                <w:b w:val="0"/>
                <w:bCs/>
                <w:color w:val="000000"/>
                <w:sz w:val="21"/>
                <w:szCs w:val="21"/>
                <w:lang w:eastAsia="zh-CN"/>
              </w:rPr>
              <w:t>废弃物集中收集处置100%</w:t>
            </w:r>
            <w:r>
              <w:rPr>
                <w:rFonts w:hint="eastAsia" w:ascii="宋体" w:hAnsi="宋体" w:cs="宋体"/>
                <w:b w:val="0"/>
                <w:bCs/>
                <w:kern w:val="0"/>
                <w:sz w:val="21"/>
                <w:szCs w:val="21"/>
                <w:highlight w:val="none"/>
              </w:rPr>
              <w:t>；</w:t>
            </w:r>
            <w:r>
              <w:rPr>
                <w:rFonts w:hint="eastAsia" w:ascii="宋体" w:hAnsi="宋体" w:cs="宋体"/>
                <w:b w:val="0"/>
                <w:bCs/>
                <w:kern w:val="0"/>
                <w:sz w:val="21"/>
                <w:szCs w:val="21"/>
                <w:highlight w:val="none"/>
                <w:lang w:val="en-US" w:eastAsia="zh-CN"/>
              </w:rPr>
              <w:t xml:space="preserve">                    100%</w:t>
            </w:r>
          </w:p>
          <w:p>
            <w:pPr>
              <w:numPr>
                <w:ilvl w:val="0"/>
                <w:numId w:val="3"/>
              </w:numPr>
              <w:snapToGrid w:val="0"/>
              <w:ind w:left="0" w:leftChars="0" w:firstLine="0" w:firstLineChars="0"/>
              <w:rPr>
                <w:rFonts w:hint="eastAsia"/>
                <w:b w:val="0"/>
                <w:bCs/>
                <w:sz w:val="21"/>
                <w:szCs w:val="21"/>
                <w:highlight w:val="none"/>
                <w:lang w:val="en-US" w:eastAsia="zh-CN"/>
              </w:rPr>
            </w:pPr>
            <w:r>
              <w:rPr>
                <w:rFonts w:hint="eastAsia"/>
                <w:b w:val="0"/>
                <w:bCs/>
                <w:sz w:val="21"/>
                <w:szCs w:val="21"/>
                <w:lang w:eastAsia="zh-CN"/>
              </w:rPr>
              <w:t>火灾触电事故为零</w:t>
            </w:r>
            <w:r>
              <w:rPr>
                <w:rFonts w:hint="eastAsia"/>
                <w:b w:val="0"/>
                <w:bCs/>
                <w:sz w:val="21"/>
                <w:szCs w:val="21"/>
                <w:highlight w:val="none"/>
                <w:lang w:val="en-US" w:eastAsia="zh-CN"/>
              </w:rPr>
              <w:t>；                     未发生火灾触电事故</w:t>
            </w:r>
          </w:p>
          <w:p>
            <w:pPr>
              <w:numPr>
                <w:ilvl w:val="0"/>
                <w:numId w:val="0"/>
              </w:numPr>
              <w:snapToGrid w:val="0"/>
              <w:ind w:leftChars="0"/>
              <w:rPr>
                <w:rFonts w:hint="default"/>
                <w:b w:val="0"/>
                <w:bCs/>
                <w:sz w:val="21"/>
                <w:szCs w:val="21"/>
                <w:highlight w:val="none"/>
                <w:lang w:val="en-US" w:eastAsia="zh-CN"/>
              </w:rPr>
            </w:pPr>
            <w:r>
              <w:rPr>
                <w:rFonts w:hint="eastAsia" w:ascii="宋体" w:hAnsi="宋体" w:cs="宋体"/>
                <w:b w:val="0"/>
                <w:bCs/>
                <w:kern w:val="0"/>
                <w:sz w:val="21"/>
                <w:szCs w:val="21"/>
                <w:highlight w:val="none"/>
              </w:rPr>
              <w:t>3、</w:t>
            </w:r>
            <w:r>
              <w:rPr>
                <w:rFonts w:hint="eastAsia"/>
                <w:b w:val="0"/>
                <w:bCs/>
                <w:sz w:val="21"/>
                <w:szCs w:val="21"/>
                <w:highlight w:val="none"/>
                <w:lang w:val="en-US" w:eastAsia="zh-CN"/>
              </w:rPr>
              <w:t xml:space="preserve">噪声排放达标；                               符合标准                            </w:t>
            </w:r>
          </w:p>
          <w:p>
            <w:pPr>
              <w:snapToGrid w:val="0"/>
              <w:rPr>
                <w:rFonts w:hint="default"/>
                <w:b w:val="0"/>
                <w:bCs/>
                <w:sz w:val="21"/>
                <w:szCs w:val="21"/>
                <w:highlight w:val="none"/>
                <w:lang w:val="en-US" w:eastAsia="zh-CN"/>
              </w:rPr>
            </w:pPr>
            <w:r>
              <w:rPr>
                <w:rFonts w:hint="eastAsia"/>
                <w:b w:val="0"/>
                <w:bCs/>
                <w:sz w:val="21"/>
                <w:szCs w:val="21"/>
                <w:highlight w:val="none"/>
                <w:lang w:val="en-US" w:eastAsia="zh-CN"/>
              </w:rPr>
              <w:t>4、</w:t>
            </w:r>
            <w:r>
              <w:rPr>
                <w:rFonts w:hint="eastAsia"/>
                <w:b w:val="0"/>
                <w:bCs/>
                <w:sz w:val="21"/>
                <w:szCs w:val="21"/>
                <w:lang w:eastAsia="zh-CN"/>
              </w:rPr>
              <w:t>废水、废气达标排放</w:t>
            </w:r>
            <w:r>
              <w:rPr>
                <w:rFonts w:hint="eastAsia"/>
                <w:b w:val="0"/>
                <w:bCs/>
                <w:sz w:val="21"/>
                <w:szCs w:val="21"/>
                <w:highlight w:val="none"/>
                <w:lang w:val="en-US" w:eastAsia="zh-CN"/>
              </w:rPr>
              <w:t xml:space="preserve">；                         符合标准 </w:t>
            </w:r>
          </w:p>
          <w:p>
            <w:pPr>
              <w:snapToGrid w:val="0"/>
              <w:rPr>
                <w:rFonts w:hint="default"/>
                <w:b w:val="0"/>
                <w:bCs/>
                <w:sz w:val="21"/>
                <w:szCs w:val="21"/>
                <w:highlight w:val="none"/>
                <w:lang w:val="en-US" w:eastAsia="zh-CN"/>
              </w:rPr>
            </w:pPr>
            <w:r>
              <w:rPr>
                <w:rFonts w:hint="eastAsia"/>
                <w:b w:val="0"/>
                <w:bCs/>
                <w:sz w:val="21"/>
                <w:szCs w:val="21"/>
                <w:highlight w:val="none"/>
                <w:lang w:val="en-US" w:eastAsia="zh-CN"/>
              </w:rPr>
              <w:t>5、</w:t>
            </w:r>
            <w:r>
              <w:rPr>
                <w:rFonts w:hint="eastAsia"/>
                <w:b w:val="0"/>
                <w:bCs/>
                <w:sz w:val="21"/>
                <w:szCs w:val="21"/>
              </w:rPr>
              <w:t>重大安全事故和伤亡事故为0</w:t>
            </w:r>
            <w:r>
              <w:rPr>
                <w:rFonts w:hint="eastAsia"/>
                <w:b w:val="0"/>
                <w:bCs/>
                <w:sz w:val="21"/>
                <w:szCs w:val="21"/>
                <w:highlight w:val="none"/>
                <w:lang w:val="en-US" w:eastAsia="zh-CN"/>
              </w:rPr>
              <w:t>；          未发生重大安全、伤亡事故</w:t>
            </w:r>
          </w:p>
          <w:p>
            <w:pPr>
              <w:snapToGrid w:val="0"/>
              <w:rPr>
                <w:rFonts w:hint="default"/>
                <w:b w:val="0"/>
                <w:bCs/>
                <w:sz w:val="21"/>
                <w:szCs w:val="21"/>
                <w:highlight w:val="none"/>
                <w:lang w:val="en-US" w:eastAsia="zh-CN"/>
              </w:rPr>
            </w:pPr>
            <w:r>
              <w:rPr>
                <w:rFonts w:hint="eastAsia"/>
                <w:b w:val="0"/>
                <w:bCs/>
                <w:sz w:val="21"/>
                <w:szCs w:val="21"/>
                <w:highlight w:val="none"/>
                <w:lang w:val="en-US" w:eastAsia="zh-CN"/>
              </w:rPr>
              <w:t>6、</w:t>
            </w:r>
            <w:r>
              <w:rPr>
                <w:rFonts w:hint="eastAsia" w:hAnsi="宋体"/>
                <w:b w:val="0"/>
                <w:bCs/>
                <w:sz w:val="21"/>
                <w:szCs w:val="21"/>
                <w:lang w:eastAsia="zh-CN"/>
              </w:rPr>
              <w:t>职业病发生率为零。</w:t>
            </w:r>
            <w:r>
              <w:rPr>
                <w:rFonts w:hint="eastAsia"/>
                <w:b w:val="0"/>
                <w:bCs/>
                <w:sz w:val="21"/>
                <w:szCs w:val="21"/>
                <w:highlight w:val="none"/>
                <w:lang w:val="en-US" w:eastAsia="zh-CN"/>
              </w:rPr>
              <w:t xml:space="preserve">                         无职业病例发生</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5</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szCs w:val="21"/>
              </w:rPr>
              <w:t>啤酒生产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40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highlight w:val="none"/>
              </w:rPr>
              <w:t>、</w:t>
            </w:r>
            <w:r>
              <w:rPr>
                <w:rFonts w:hint="eastAsia" w:ascii="宋体" w:hAnsi="宋体"/>
                <w:color w:val="auto"/>
                <w:sz w:val="21"/>
                <w:szCs w:val="21"/>
                <w:highlight w:val="none"/>
                <w:lang w:val="en-US" w:eastAsia="zh-CN"/>
              </w:rPr>
              <w:t>组织为租赁有面积5414平方米的加工厂房及办公场地.主要生产设备包括：电脑及办公设备、行车、直流弧焊机、车床、卧式铣镗床、数控切割机、摇臂钻床等，可以满足</w:t>
            </w:r>
            <w:r>
              <w:rPr>
                <w:rFonts w:hint="eastAsia" w:ascii="宋体" w:hAnsi="宋体"/>
                <w:color w:val="auto"/>
                <w:szCs w:val="21"/>
                <w:highlight w:val="none"/>
                <w:lang w:eastAsia="zh-CN"/>
              </w:rPr>
              <w:t>一般机械加工</w:t>
            </w:r>
            <w:r>
              <w:rPr>
                <w:rFonts w:hint="eastAsia" w:ascii="宋体" w:hAnsi="宋体"/>
                <w:color w:val="auto"/>
                <w:sz w:val="21"/>
                <w:szCs w:val="21"/>
                <w:highlight w:val="none"/>
                <w:lang w:val="en-US" w:eastAsia="zh-CN"/>
              </w:rPr>
              <w:t>需要。对设备按月方式进行点检维护保养，并实施。特种设备：行车。公司未建立信息管理系统用于生产和服务。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210" w:firstLineChars="100"/>
              <w:rPr>
                <w:rFonts w:ascii="宋体" w:hAnsi="宋体"/>
                <w:b/>
                <w:color w:val="000000" w:themeColor="text1"/>
                <w:sz w:val="20"/>
                <w:szCs w:val="20"/>
              </w:rPr>
            </w:pPr>
            <w:r>
              <w:rPr>
                <w:rFonts w:hint="eastAsia" w:ascii="宋体" w:hAnsi="宋体" w:cs="宋体"/>
                <w:szCs w:val="21"/>
              </w:rPr>
              <w:t>办公、服务场所和内设备布置合理，通道畅通，照明设施齐全，均配备了消防设施等设施。办公室明亮，培训场所光线较充足。每月由</w:t>
            </w:r>
            <w:r>
              <w:rPr>
                <w:rFonts w:hint="eastAsia" w:ascii="宋体" w:hAnsi="宋体" w:cs="宋体"/>
                <w:szCs w:val="21"/>
                <w:lang w:eastAsia="zh-CN"/>
              </w:rPr>
              <w:t>环境健康和安全部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ind w:firstLine="210" w:firstLineChars="100"/>
              <w:rPr>
                <w:rFonts w:hint="eastAsia" w:ascii="宋体" w:hAnsi="宋体" w:eastAsia="宋体"/>
                <w:b/>
                <w:sz w:val="20"/>
                <w:szCs w:val="20"/>
                <w:lang w:eastAsia="zh-CN"/>
              </w:rPr>
            </w:pPr>
            <w:r>
              <w:rPr>
                <w:rFonts w:hint="eastAsia" w:ascii="宋体" w:hAnsi="宋体" w:cs="宋体"/>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400" w:lineRule="exact"/>
              <w:rPr>
                <w:rFonts w:ascii="宋体" w:hAnsi="宋体"/>
                <w:sz w:val="20"/>
                <w:szCs w:val="20"/>
              </w:rPr>
            </w:pPr>
            <w:r>
              <w:rPr>
                <w:rFonts w:hint="eastAsia"/>
                <w:szCs w:val="21"/>
                <w:lang w:val="en-US" w:eastAsia="zh-CN"/>
              </w:rPr>
              <w:t>可移动式烟尘净化器（4台）</w:t>
            </w:r>
            <w:r>
              <w:rPr>
                <w:rFonts w:hint="eastAsia"/>
                <w:szCs w:val="21"/>
              </w:rPr>
              <w:t>、消防栓、灭火器等。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400" w:lineRule="exact"/>
              <w:rPr>
                <w:rFonts w:ascii="宋体" w:hAnsi="宋体"/>
                <w:sz w:val="20"/>
                <w:szCs w:val="20"/>
              </w:rPr>
            </w:pPr>
            <w:r>
              <w:rPr>
                <w:rFonts w:hint="eastAsia"/>
                <w:szCs w:val="21"/>
              </w:rPr>
              <w:t>配电箱、空开、</w:t>
            </w:r>
            <w:r>
              <w:rPr>
                <w:rFonts w:hint="eastAsia"/>
                <w:szCs w:val="21"/>
                <w:highlight w:val="none"/>
                <w:lang w:val="en-US" w:eastAsia="zh-CN"/>
              </w:rPr>
              <w:t>机械加工设备</w:t>
            </w:r>
            <w:r>
              <w:rPr>
                <w:rFonts w:hint="eastAsia"/>
                <w:szCs w:val="21"/>
                <w:highlight w:val="none"/>
              </w:rPr>
              <w:t>的急停按钮等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pStyle w:val="11"/>
              <w:tabs>
                <w:tab w:val="center" w:pos="3169"/>
              </w:tabs>
              <w:spacing w:line="400" w:lineRule="exact"/>
              <w:ind w:firstLine="0" w:firstLineChars="0"/>
              <w:jc w:val="left"/>
              <w:rPr>
                <w:rFonts w:asciiTheme="minorEastAsia" w:hAnsiTheme="minorEastAsia" w:eastAsiaTheme="minorEastAsia"/>
                <w:bCs/>
                <w:iCs/>
              </w:rPr>
            </w:pPr>
            <w:r>
              <w:rPr>
                <w:rFonts w:hint="eastAsia" w:asciiTheme="minorEastAsia" w:hAnsiTheme="minorEastAsia" w:eastAsiaTheme="minorEastAsia"/>
                <w:bCs/>
                <w:iCs/>
              </w:rPr>
              <w:t>组织重要环境因素</w:t>
            </w:r>
            <w:r>
              <w:rPr>
                <w:rFonts w:hint="eastAsia" w:asciiTheme="minorEastAsia" w:hAnsiTheme="minorEastAsia" w:eastAsiaTheme="minorEastAsia"/>
                <w:bCs/>
                <w:iCs/>
                <w:highlight w:val="none"/>
              </w:rPr>
              <w:t>为</w:t>
            </w:r>
            <w:r>
              <w:rPr>
                <w:rFonts w:hint="eastAsia" w:ascii="宋体" w:hAnsi="宋体" w:cs="宋体"/>
                <w:szCs w:val="21"/>
              </w:rPr>
              <w:t>1）潜在火灾；2）噪声的排放；3）废水的排放；4）</w:t>
            </w:r>
            <w:r>
              <w:rPr>
                <w:rFonts w:hint="eastAsia" w:ascii="宋体" w:hAnsi="宋体"/>
                <w:sz w:val="21"/>
                <w:szCs w:val="21"/>
                <w:lang w:eastAsia="zh-CN"/>
              </w:rPr>
              <w:t>固体废弃物的</w:t>
            </w:r>
            <w:r>
              <w:rPr>
                <w:rFonts w:hint="eastAsia" w:ascii="宋体" w:hAnsi="宋体"/>
                <w:sz w:val="21"/>
                <w:szCs w:val="21"/>
              </w:rPr>
              <w:t>排放</w:t>
            </w:r>
            <w:r>
              <w:rPr>
                <w:rFonts w:hint="eastAsia" w:ascii="宋体" w:hAnsi="宋体" w:cs="宋体"/>
                <w:szCs w:val="21"/>
              </w:rPr>
              <w:t>；5）</w:t>
            </w:r>
            <w:r>
              <w:rPr>
                <w:rFonts w:hint="eastAsia" w:ascii="宋体" w:hAnsi="宋体" w:cs="宋体"/>
                <w:szCs w:val="21"/>
                <w:lang w:val="en-US" w:eastAsia="zh-CN"/>
              </w:rPr>
              <w:t>废气</w:t>
            </w:r>
            <w:r>
              <w:rPr>
                <w:rFonts w:hint="eastAsia" w:ascii="宋体" w:hAnsi="宋体" w:cs="宋体"/>
                <w:szCs w:val="21"/>
              </w:rPr>
              <w:t>的排放。</w:t>
            </w:r>
            <w:r>
              <w:rPr>
                <w:rFonts w:hint="eastAsia" w:asciiTheme="minorEastAsia" w:hAnsiTheme="minorEastAsia" w:eastAsiaTheme="minorEastAsia"/>
                <w:bCs/>
                <w:iCs/>
              </w:rPr>
              <w:t>需要应对的风险和机遇相关的过程为</w:t>
            </w:r>
            <w:r>
              <w:rPr>
                <w:rFonts w:hint="eastAsia" w:asciiTheme="minorEastAsia" w:hAnsiTheme="minorEastAsia" w:eastAsiaTheme="minorEastAsia"/>
                <w:bCs/>
                <w:iCs/>
                <w:lang w:val="en-US" w:eastAsia="zh-CN"/>
              </w:rPr>
              <w:t>机械加工（车、铣、镗、钻）</w:t>
            </w:r>
            <w:r>
              <w:rPr>
                <w:rFonts w:hint="eastAsia" w:asciiTheme="minorEastAsia" w:hAnsiTheme="minorEastAsia" w:eastAsiaTheme="minorEastAsia"/>
                <w:bCs/>
                <w:iCs/>
              </w:rPr>
              <w:t>、</w:t>
            </w:r>
            <w:r>
              <w:rPr>
                <w:rFonts w:hint="eastAsia" w:asciiTheme="minorEastAsia" w:hAnsiTheme="minorEastAsia" w:eastAsiaTheme="minorEastAsia"/>
                <w:bCs/>
                <w:iCs/>
                <w:lang w:val="en-US" w:eastAsia="zh-CN"/>
              </w:rPr>
              <w:t>焊接、打磨、吊装</w:t>
            </w:r>
            <w:r>
              <w:rPr>
                <w:rFonts w:hint="eastAsia" w:asciiTheme="minorEastAsia" w:hAnsiTheme="minorEastAsia" w:eastAsiaTheme="minorEastAsia"/>
                <w:bCs/>
                <w:iCs/>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控制、潜在火灾</w:t>
            </w:r>
            <w:r>
              <w:rPr>
                <w:rFonts w:hint="eastAsia" w:asciiTheme="minorEastAsia" w:hAnsiTheme="minorEastAsia" w:eastAsiaTheme="minorEastAsia"/>
                <w:bCs/>
                <w:iCs/>
                <w:lang w:eastAsia="zh-CN"/>
              </w:rPr>
              <w:t>、</w:t>
            </w:r>
            <w:r>
              <w:rPr>
                <w:rFonts w:hint="eastAsia" w:ascii="宋体" w:hAnsi="宋体" w:cs="宋体" w:eastAsiaTheme="minorEastAsia"/>
                <w:szCs w:val="21"/>
                <w:lang w:val="en-US" w:eastAsia="zh-CN"/>
              </w:rPr>
              <w:t>机械伤害</w:t>
            </w:r>
            <w:r>
              <w:rPr>
                <w:rFonts w:hint="eastAsia" w:asciiTheme="minorEastAsia" w:hAnsiTheme="minorEastAsia" w:eastAsiaTheme="minorEastAsia"/>
                <w:bCs/>
                <w:iCs/>
              </w:rPr>
              <w:t>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numPr>
                <w:ilvl w:val="0"/>
                <w:numId w:val="0"/>
              </w:numPr>
              <w:tabs>
                <w:tab w:val="left" w:pos="1080"/>
              </w:tabs>
              <w:spacing w:line="400" w:lineRule="exact"/>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w:t>
            </w:r>
            <w:r>
              <w:rPr>
                <w:rFonts w:hint="eastAsia" w:asciiTheme="minorEastAsia" w:hAnsiTheme="minorEastAsia" w:eastAsiaTheme="minorEastAsia"/>
                <w:bCs/>
                <w:iCs/>
                <w:lang w:val="en-US" w:eastAsia="zh-CN"/>
              </w:rPr>
              <w:t>1）</w:t>
            </w:r>
            <w:r>
              <w:rPr>
                <w:rFonts w:hint="eastAsia"/>
                <w:szCs w:val="21"/>
              </w:rPr>
              <w:t>火灾；2）</w:t>
            </w:r>
            <w:r>
              <w:rPr>
                <w:rFonts w:hint="eastAsia"/>
                <w:szCs w:val="21"/>
                <w:lang w:val="en-US" w:eastAsia="zh-CN"/>
              </w:rPr>
              <w:t>物体打击</w:t>
            </w:r>
            <w:r>
              <w:rPr>
                <w:rFonts w:hint="eastAsia"/>
                <w:szCs w:val="21"/>
              </w:rPr>
              <w:t>；3）触电；4）</w:t>
            </w:r>
            <w:r>
              <w:rPr>
                <w:rFonts w:hint="eastAsia"/>
                <w:szCs w:val="21"/>
                <w:lang w:val="en-US" w:eastAsia="zh-CN"/>
              </w:rPr>
              <w:t>机械伤害</w:t>
            </w:r>
            <w:r>
              <w:rPr>
                <w:rFonts w:hint="eastAsia"/>
                <w:szCs w:val="21"/>
              </w:rPr>
              <w:t>；5）</w:t>
            </w:r>
            <w:r>
              <w:rPr>
                <w:rFonts w:hint="eastAsia"/>
                <w:szCs w:val="21"/>
                <w:lang w:val="en-US" w:eastAsia="zh-CN"/>
              </w:rPr>
              <w:t>中暑</w:t>
            </w:r>
            <w:r>
              <w:rPr>
                <w:rFonts w:hint="eastAsia"/>
                <w:szCs w:val="21"/>
              </w:rPr>
              <w:t>；6）职业病（噪声、粉尘）</w:t>
            </w:r>
            <w:r>
              <w:rPr>
                <w:rFonts w:hint="eastAsia" w:ascii="宋体" w:hAnsi="宋体" w:cs="宋体"/>
                <w:szCs w:val="21"/>
                <w:highlight w:val="none"/>
              </w:rPr>
              <w:t>等</w:t>
            </w:r>
            <w:r>
              <w:rPr>
                <w:rFonts w:hint="eastAsia" w:asciiTheme="minorEastAsia" w:hAnsiTheme="minorEastAsia" w:eastAsiaTheme="minorEastAsia"/>
                <w:bCs/>
                <w:iCs/>
                <w:highlight w:val="none"/>
              </w:rPr>
              <w:t>重要危险源，与之相关的过程有</w:t>
            </w:r>
            <w:r>
              <w:rPr>
                <w:rFonts w:hint="eastAsia" w:asciiTheme="minorEastAsia" w:hAnsiTheme="minorEastAsia" w:eastAsiaTheme="minorEastAsia"/>
                <w:bCs/>
                <w:iCs/>
                <w:lang w:val="en-US" w:eastAsia="zh-CN"/>
              </w:rPr>
              <w:t>机械加工（车、铣、镗、钻）</w:t>
            </w:r>
            <w:r>
              <w:rPr>
                <w:rFonts w:hint="eastAsia" w:asciiTheme="minorEastAsia" w:hAnsiTheme="minorEastAsia" w:eastAsiaTheme="minorEastAsia"/>
                <w:bCs/>
                <w:iCs/>
              </w:rPr>
              <w:t>、</w:t>
            </w:r>
            <w:r>
              <w:rPr>
                <w:rFonts w:hint="eastAsia" w:asciiTheme="minorEastAsia" w:hAnsiTheme="minorEastAsia" w:eastAsiaTheme="minorEastAsia"/>
                <w:bCs/>
                <w:iCs/>
                <w:lang w:val="en-US" w:eastAsia="zh-CN"/>
              </w:rPr>
              <w:t>焊接、打磨、吊装</w:t>
            </w:r>
            <w:r>
              <w:rPr>
                <w:rFonts w:hint="eastAsia" w:asciiTheme="minorEastAsia" w:hAnsiTheme="minorEastAsia" w:eastAsiaTheme="minorEastAsia"/>
                <w:bCs/>
                <w:iCs/>
              </w:rPr>
              <w:t>过程</w:t>
            </w:r>
            <w:r>
              <w:rPr>
                <w:rFonts w:hint="eastAsia" w:asciiTheme="minorEastAsia" w:hAnsiTheme="minorEastAsia" w:eastAsiaTheme="minorEastAsia"/>
                <w:bCs/>
                <w:iCs/>
                <w:highlight w:val="none"/>
              </w:rPr>
              <w:t>，针对不可接受风险制定了管理方案。控制措施实施有效。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rFonts w:hint="eastAsia" w:eastAsia="宋体"/>
                <w:b/>
                <w:sz w:val="20"/>
                <w:szCs w:val="20"/>
                <w:lang w:eastAsia="zh-CN"/>
              </w:rPr>
            </w:pPr>
            <w:r>
              <w:rPr>
                <w:rFonts w:hint="eastAsia"/>
                <w:b/>
                <w:sz w:val="20"/>
                <w:szCs w:val="20"/>
                <w:lang w:eastAsia="zh-CN"/>
              </w:rPr>
              <w:t>对</w:t>
            </w:r>
            <w:r>
              <w:rPr>
                <w:rFonts w:hint="eastAsia"/>
                <w:b/>
                <w:sz w:val="20"/>
                <w:szCs w:val="20"/>
                <w:lang w:val="en-US" w:eastAsia="zh-CN"/>
              </w:rPr>
              <w:t>行车</w:t>
            </w:r>
            <w:r>
              <w:rPr>
                <w:rFonts w:hint="eastAsia"/>
                <w:b/>
                <w:sz w:val="20"/>
                <w:szCs w:val="20"/>
                <w:lang w:eastAsia="zh-CN"/>
              </w:rPr>
              <w:t>进行了年检，</w:t>
            </w:r>
            <w:r>
              <w:rPr>
                <w:rFonts w:hint="eastAsia"/>
                <w:b/>
                <w:color w:val="000000" w:themeColor="text1"/>
                <w:sz w:val="20"/>
                <w:szCs w:val="20"/>
                <w:lang w:eastAsia="zh-CN"/>
              </w:rPr>
              <w:t>提供有行车检定报告和特种设备使用证。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color w:val="000000"/>
                <w:szCs w:val="21"/>
                <w:highlight w:val="none"/>
              </w:rPr>
              <w:t>。同时，质量目标得到沟通和监视评价，通过数据的汇总统计、描述性统计等方法对目标进行了测量，总体已达到或超过了规定的目标值。通</w:t>
            </w:r>
            <w:r>
              <w:rPr>
                <w:rFonts w:hint="eastAsia" w:ascii="宋体" w:hAnsi="宋体" w:cs="宋体"/>
                <w:szCs w:val="21"/>
                <w:highlight w:val="none"/>
              </w:rPr>
              <w:t>过20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日，拟定了审核实施表，明确了内审范围，内审人员经培训合格上岗，能力满足要求，未出现审核本部门情况，内审不符合项</w:t>
            </w:r>
            <w:r>
              <w:rPr>
                <w:rFonts w:hint="eastAsia" w:ascii="宋体" w:hAnsi="宋体"/>
                <w:szCs w:val="21"/>
                <w:lang w:val="en-US" w:eastAsia="zh-CN"/>
              </w:rPr>
              <w:t>2</w:t>
            </w:r>
            <w:r>
              <w:rPr>
                <w:rFonts w:hint="eastAsia" w:ascii="宋体" w:hAnsi="宋体"/>
                <w:szCs w:val="21"/>
              </w:rPr>
              <w:t>项，</w:t>
            </w:r>
            <w:r>
              <w:rPr>
                <w:rFonts w:hint="eastAsia" w:ascii="Times New Roman" w:hAnsi="Times New Roman" w:cs="Times New Roman"/>
                <w:sz w:val="21"/>
                <w:szCs w:val="21"/>
                <w:lang w:val="en-US" w:eastAsia="zh-CN"/>
              </w:rPr>
              <w:t>涉及市场部Q9.1.2条款在20</w:t>
            </w:r>
            <w:r>
              <w:rPr>
                <w:rFonts w:hint="eastAsia" w:cs="Times New Roman"/>
                <w:sz w:val="21"/>
                <w:szCs w:val="21"/>
                <w:lang w:val="en-US" w:eastAsia="zh-CN"/>
              </w:rPr>
              <w:t>20</w:t>
            </w:r>
            <w:r>
              <w:rPr>
                <w:rFonts w:hint="eastAsia" w:ascii="Times New Roman" w:hAnsi="Times New Roman" w:cs="Times New Roman"/>
                <w:sz w:val="21"/>
                <w:szCs w:val="21"/>
                <w:lang w:val="en-US" w:eastAsia="zh-CN"/>
              </w:rPr>
              <w:t>年度未进行客户满意度调查和生产部E8.1、S8.1.2条款</w:t>
            </w:r>
            <w:r>
              <w:rPr>
                <w:rFonts w:hint="eastAsia" w:ascii="宋体" w:hAnsi="宋体"/>
                <w:szCs w:val="21"/>
                <w:lang w:val="en-US" w:eastAsia="zh-CN"/>
              </w:rPr>
              <w:t>生产部办公室有一处插座线缆有破损</w:t>
            </w:r>
            <w:r>
              <w:rPr>
                <w:rFonts w:hint="eastAsia" w:ascii="宋体" w:hAnsi="宋体"/>
                <w:szCs w:val="21"/>
              </w:rPr>
              <w:t>，已及时采取纠正措施后，经内审员验证关闭。内审的有效性需要改善。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23</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400" w:lineRule="exact"/>
              <w:rPr>
                <w:rFonts w:hint="eastAsia" w:eastAsia="宋体"/>
                <w:sz w:val="20"/>
                <w:szCs w:val="20"/>
                <w:lang w:eastAsia="zh-CN"/>
              </w:rPr>
            </w:pPr>
            <w:r>
              <w:rPr>
                <w:rFonts w:hint="eastAsia" w:ascii="宋体" w:hAnsi="宋体" w:eastAsia="宋体" w:cs="Times New Roman"/>
                <w:szCs w:val="21"/>
              </w:rPr>
              <w:t>提供有</w:t>
            </w:r>
            <w:r>
              <w:rPr>
                <w:rFonts w:hint="eastAsia" w:ascii="宋体" w:hAnsi="宋体" w:eastAsia="宋体" w:cs="Times New Roman"/>
                <w:szCs w:val="21"/>
                <w:lang w:val="en-US" w:eastAsia="zh-CN"/>
              </w:rPr>
              <w:t>与四川齐荣检测有限责任公司签订的检测委托协议单</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检测项目：</w:t>
            </w:r>
            <w:r>
              <w:rPr>
                <w:rFonts w:hint="eastAsia" w:ascii="宋体" w:hAnsi="宋体" w:eastAsia="宋体" w:cs="宋体"/>
                <w:color w:val="000000"/>
                <w:kern w:val="0"/>
                <w:szCs w:val="21"/>
              </w:rPr>
              <w:t>废气、噪声）</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现场检测已于2020年12月30日进行，报告正在出具中，报告出具后报中心备案</w:t>
            </w:r>
            <w:r>
              <w:rPr>
                <w:rFonts w:hint="eastAsia" w:ascii="宋体" w:hAnsi="宋体" w:eastAsia="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widowControl/>
              <w:jc w:val="left"/>
              <w:rPr>
                <w:rFonts w:ascii="宋体" w:hAnsi="宋体" w:cs="宋体"/>
                <w:color w:val="000000"/>
                <w:kern w:val="0"/>
                <w:szCs w:val="21"/>
                <w:highlight w:val="green"/>
              </w:rPr>
            </w:pPr>
            <w:r>
              <w:rPr>
                <w:rFonts w:hint="eastAsia" w:ascii="宋体" w:hAnsi="宋体"/>
                <w:szCs w:val="21"/>
                <w:highlight w:val="none"/>
              </w:rPr>
              <w:t>提供有</w:t>
            </w:r>
            <w:r>
              <w:rPr>
                <w:rFonts w:hint="eastAsia" w:ascii="宋体" w:hAnsi="宋体"/>
                <w:szCs w:val="21"/>
                <w:highlight w:val="none"/>
                <w:lang w:eastAsia="zh-CN"/>
              </w:rPr>
              <w:t>：</w:t>
            </w:r>
            <w:r>
              <w:rPr>
                <w:rFonts w:hint="eastAsia" w:ascii="宋体" w:hAnsi="宋体" w:cs="宋体"/>
                <w:color w:val="000000"/>
                <w:kern w:val="0"/>
                <w:szCs w:val="21"/>
              </w:rPr>
              <w:t>1）</w:t>
            </w:r>
            <w:r>
              <w:rPr>
                <w:rFonts w:hint="eastAsia"/>
                <w:color w:val="000000"/>
                <w:szCs w:val="21"/>
                <w:lang w:val="en-US" w:eastAsia="zh-CN"/>
              </w:rPr>
              <w:t>德阳市中大运业有限公司机械加工项目《环境影响报告表》的批复，德市旌环｛2017｝468号</w:t>
            </w:r>
            <w:r>
              <w:rPr>
                <w:rFonts w:hint="eastAsia" w:ascii="宋体" w:hAnsi="宋体" w:cs="宋体"/>
                <w:color w:val="000000"/>
                <w:kern w:val="0"/>
                <w:szCs w:val="21"/>
              </w:rPr>
              <w:t>；</w:t>
            </w:r>
          </w:p>
          <w:p>
            <w:pPr>
              <w:widowControl/>
              <w:jc w:val="left"/>
            </w:pPr>
            <w:r>
              <w:rPr>
                <w:rFonts w:hint="eastAsia" w:ascii="宋体" w:hAnsi="宋体" w:cs="宋体"/>
                <w:color w:val="000000"/>
                <w:kern w:val="0"/>
                <w:szCs w:val="21"/>
              </w:rPr>
              <w:t>2）</w:t>
            </w:r>
            <w:r>
              <w:rPr>
                <w:rFonts w:hint="eastAsia"/>
                <w:color w:val="000000"/>
                <w:szCs w:val="21"/>
                <w:lang w:val="en-US" w:eastAsia="zh-CN"/>
              </w:rPr>
              <w:t>德阳市中大运业有限公司机械加工项目竣工环境保护验收申请、验收结论：同意通过验收，德市旌环验（2018）4号。</w:t>
            </w:r>
          </w:p>
          <w:p>
            <w:pPr>
              <w:spacing w:line="240" w:lineRule="exact"/>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eastAsia" w:eastAsia="宋体"/>
                <w:b/>
                <w:sz w:val="20"/>
                <w:szCs w:val="20"/>
                <w:lang w:eastAsia="zh-CN"/>
              </w:rPr>
            </w:pPr>
            <w:r>
              <w:rPr>
                <w:rFonts w:hint="eastAsia" w:ascii="宋体" w:hAnsi="宋体"/>
                <w:szCs w:val="21"/>
              </w:rPr>
              <w:t>提供有</w:t>
            </w:r>
            <w:r>
              <w:rPr>
                <w:rFonts w:hint="eastAsia" w:ascii="宋体" w:hAnsi="宋体"/>
                <w:szCs w:val="21"/>
                <w:lang w:val="en-US" w:eastAsia="zh-CN"/>
              </w:rPr>
              <w:t>与四川省中衡检测技术有限公司签订的职卫检测协议（检测项目：噪声、粉尘），</w:t>
            </w:r>
            <w:r>
              <w:rPr>
                <w:rFonts w:hint="eastAsia" w:ascii="宋体" w:hAnsi="宋体" w:cs="宋体"/>
                <w:color w:val="000000"/>
                <w:kern w:val="0"/>
                <w:szCs w:val="21"/>
                <w:lang w:val="en-US" w:eastAsia="zh-CN"/>
              </w:rPr>
              <w:t>现场检测已于2020年12月31日进行，报告正在出具中，报告出具后报中心备案</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highlight w:val="none"/>
        </w:rPr>
        <w:t>七、本次审核不符合项</w:t>
      </w:r>
    </w:p>
    <w:p>
      <w:pPr>
        <w:tabs>
          <w:tab w:val="left" w:pos="9072"/>
        </w:tabs>
        <w:spacing w:line="360" w:lineRule="auto"/>
        <w:ind w:left="-993" w:leftChars="-473" w:firstLine="2"/>
        <w:rPr>
          <w:b/>
          <w:highlight w:val="none"/>
        </w:rPr>
      </w:pPr>
      <w:r>
        <w:rPr>
          <w:rFonts w:hint="eastAsia"/>
          <w:b/>
          <w:color w:val="000000" w:themeColor="text1"/>
          <w:highlight w:val="none"/>
        </w:rPr>
        <w:t>1. 本次审核共开具不符合项报告</w:t>
      </w:r>
      <w:r>
        <w:rPr>
          <w:rFonts w:hint="eastAsia"/>
          <w:b/>
          <w:highlight w:val="none"/>
        </w:rPr>
        <w:t>1项；其中</w:t>
      </w:r>
      <w:r>
        <w:rPr>
          <w:b/>
          <w:highlight w:val="none"/>
        </w:rPr>
        <w:pict>
          <v:line id="直接连接符 1" o:spid="_x0000_s2052" o:spt="20" style="position:absolute;left:0pt;margin-left:210pt;margin-top:16.2pt;height:0pt;width:0pt;z-index:25170841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严重不符合0项，一般不符合 1项，观察项</w:t>
      </w:r>
      <w:r>
        <w:rPr>
          <w:rFonts w:hint="eastAsia"/>
          <w:b/>
          <w:highlight w:val="none"/>
          <w:lang w:val="en-US" w:eastAsia="zh-CN"/>
        </w:rPr>
        <w:t>1</w:t>
      </w:r>
      <w:r>
        <w:rPr>
          <w:rFonts w:hint="eastAsia"/>
          <w:b/>
          <w:highlight w:val="none"/>
        </w:rPr>
        <w:t>项，</w:t>
      </w:r>
      <w:r>
        <w:rPr>
          <w:rFonts w:hint="eastAsia"/>
          <w:b/>
          <w:highlight w:val="none"/>
          <w:lang w:val="en-US" w:eastAsia="zh-CN"/>
        </w:rPr>
        <w:t>不符合项</w:t>
      </w:r>
      <w:r>
        <w:rPr>
          <w:rFonts w:hint="eastAsia"/>
          <w:b/>
          <w:highlight w:val="none"/>
        </w:rPr>
        <w:t>分布在</w:t>
      </w:r>
      <w:r>
        <w:rPr>
          <w:rFonts w:hint="eastAsia"/>
          <w:b/>
          <w:highlight w:val="none"/>
          <w:lang w:val="en-US" w:eastAsia="zh-CN"/>
        </w:rPr>
        <w:t>生产</w:t>
      </w:r>
      <w:r>
        <w:rPr>
          <w:rFonts w:hint="eastAsia"/>
          <w:b/>
          <w:highlight w:val="none"/>
        </w:rPr>
        <w:t>部部门</w:t>
      </w:r>
      <w:r>
        <w:rPr>
          <w:rFonts w:hint="eastAsia"/>
          <w:b/>
          <w:highlight w:val="none"/>
          <w:lang w:val="en-US" w:eastAsia="zh-CN"/>
        </w:rPr>
        <w:t>S8.1.1</w:t>
      </w:r>
      <w:r>
        <w:rPr>
          <w:rFonts w:hint="eastAsia"/>
          <w:b/>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bookmarkStart w:id="23" w:name="_GoBack"/>
      <w:bookmarkEnd w:id="23"/>
    </w:p>
    <w:p>
      <w:pPr>
        <w:snapToGrid w:val="0"/>
        <w:spacing w:line="360" w:lineRule="auto"/>
        <w:ind w:left="-191" w:leftChars="-337" w:hanging="517" w:hangingChars="271"/>
        <w:rPr>
          <w:rFonts w:hint="eastAsia" w:ascii="宋体" w:hAnsi="宋体" w:eastAsia="宋体"/>
          <w:b/>
          <w:color w:val="000000" w:themeColor="text1"/>
          <w:szCs w:val="21"/>
          <w:lang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numPr>
                <w:ilvl w:val="0"/>
                <w:numId w:val="4"/>
              </w:numPr>
              <w:rPr>
                <w:rFonts w:hint="eastAsia"/>
                <w:b/>
                <w:color w:val="000000" w:themeColor="text1"/>
              </w:rPr>
            </w:pPr>
            <w:r>
              <w:rPr>
                <w:rFonts w:hint="eastAsia"/>
                <w:b/>
                <w:color w:val="000000" w:themeColor="text1"/>
              </w:rPr>
              <w:t>对审核范围适宜性结论</w:t>
            </w:r>
          </w:p>
          <w:p>
            <w:pPr>
              <w:numPr>
                <w:ilvl w:val="0"/>
                <w:numId w:val="0"/>
              </w:num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hint="eastAsia" w:ascii="宋体" w:hAnsi="宋体" w:eastAsia="宋体" w:cs="Times New Roman"/>
                <w:b/>
                <w:color w:val="000000" w:themeColor="text1"/>
                <w:lang w:eastAsia="zh-CN"/>
              </w:rPr>
            </w:pPr>
            <w:r>
              <w:rPr>
                <w:rFonts w:ascii="宋体" w:hAnsi="宋体" w:eastAsia="宋体" w:cs="Times New Roman"/>
                <w:b/>
                <w:color w:val="000000" w:themeColor="text1"/>
              </w:rPr>
              <w:t>E</w:t>
            </w:r>
            <w:r>
              <w:rPr>
                <w:rFonts w:hint="eastAsia" w:ascii="宋体" w:hAnsi="宋体" w:eastAsia="宋体" w:cs="Times New Roman"/>
                <w:b/>
                <w:color w:val="000000" w:themeColor="text1"/>
                <w:lang w:val="en-US" w:eastAsia="zh-CN"/>
              </w:rPr>
              <w:t>MS</w:t>
            </w:r>
            <w:r>
              <w:rPr>
                <w:rFonts w:ascii="宋体" w:hAnsi="宋体" w:eastAsia="宋体" w:cs="Times New Roman"/>
                <w:b/>
                <w:color w:val="000000" w:themeColor="text1"/>
              </w:rPr>
              <w:t>：</w:t>
            </w:r>
            <w:r>
              <w:rPr>
                <w:rFonts w:ascii="宋体" w:hAnsi="宋体" w:eastAsia="宋体" w:cs="Times New Roman"/>
                <w:b/>
                <w:color w:val="000000" w:themeColor="text1"/>
                <w:u w:val="single"/>
              </w:rPr>
              <w:t>一般机械加工所涉及场所的相关环境管理活动</w:t>
            </w:r>
            <w:r>
              <w:rPr>
                <w:rFonts w:hint="eastAsia" w:ascii="宋体" w:hAnsi="宋体" w:eastAsia="宋体" w:cs="Times New Roman"/>
                <w:b/>
                <w:color w:val="000000" w:themeColor="text1"/>
                <w:u w:val="single"/>
                <w:lang w:eastAsia="zh-CN"/>
              </w:rPr>
              <w:t>。</w:t>
            </w:r>
          </w:p>
          <w:p>
            <w:pPr>
              <w:spacing w:line="320" w:lineRule="exact"/>
              <w:rPr>
                <w:rFonts w:hint="eastAsia" w:ascii="宋体" w:hAnsi="宋体" w:eastAsia="宋体" w:cs="Times New Roman"/>
                <w:b/>
                <w:color w:val="000000" w:themeColor="text1"/>
              </w:rPr>
            </w:pPr>
            <w:r>
              <w:rPr>
                <w:rFonts w:ascii="宋体" w:hAnsi="宋体" w:eastAsia="宋体" w:cs="Times New Roman"/>
                <w:b/>
                <w:color w:val="000000" w:themeColor="text1"/>
              </w:rPr>
              <w:t>O</w:t>
            </w:r>
            <w:r>
              <w:rPr>
                <w:rFonts w:hint="eastAsia" w:ascii="宋体" w:hAnsi="宋体" w:eastAsia="宋体" w:cs="Times New Roman"/>
                <w:b/>
                <w:color w:val="000000" w:themeColor="text1"/>
                <w:lang w:val="en-US" w:eastAsia="zh-CN"/>
              </w:rPr>
              <w:t>HSMS</w:t>
            </w:r>
            <w:r>
              <w:rPr>
                <w:rFonts w:ascii="宋体" w:hAnsi="宋体" w:eastAsia="宋体" w:cs="Times New Roman"/>
                <w:b/>
                <w:color w:val="000000" w:themeColor="text1"/>
              </w:rPr>
              <w:t>：</w:t>
            </w:r>
            <w:r>
              <w:rPr>
                <w:rFonts w:ascii="宋体" w:hAnsi="宋体" w:eastAsia="宋体" w:cs="Times New Roman"/>
                <w:b/>
                <w:color w:val="000000" w:themeColor="text1"/>
                <w:u w:val="single"/>
              </w:rPr>
              <w:t>一般机械加工所涉及场所的相关职业健康安全管理活动</w:t>
            </w:r>
            <w:r>
              <w:rPr>
                <w:rFonts w:hint="eastAsia" w:ascii="宋体" w:hAnsi="宋体" w:eastAsia="宋体" w:cs="Times New Roman"/>
                <w:b/>
                <w:color w:val="000000" w:themeColor="text1"/>
                <w:u w:val="single"/>
                <w:lang w:eastAsia="zh-CN"/>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hint="eastAsia" w:ascii="宋体" w:hAnsi="宋体"/>
          <w:szCs w:val="21"/>
        </w:rPr>
        <w:drawing>
          <wp:anchor distT="0" distB="0" distL="114300" distR="114300" simplePos="0" relativeHeight="251709440" behindDoc="1" locked="0" layoutInCell="1" allowOverlap="1">
            <wp:simplePos x="0" y="0"/>
            <wp:positionH relativeFrom="column">
              <wp:posOffset>1583055</wp:posOffset>
            </wp:positionH>
            <wp:positionV relativeFrom="paragraph">
              <wp:posOffset>236220</wp:posOffset>
            </wp:positionV>
            <wp:extent cx="855980" cy="529590"/>
            <wp:effectExtent l="0" t="0" r="12700" b="3810"/>
            <wp:wrapNone/>
            <wp:docPr id="3" name="图片 5" descr="杨珍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杨珍全"/>
                    <pic:cNvPicPr>
                      <a:picLocks noChangeAspect="1"/>
                    </pic:cNvPicPr>
                  </pic:nvPicPr>
                  <pic:blipFill>
                    <a:blip r:embed="rId6"/>
                    <a:stretch>
                      <a:fillRect/>
                    </a:stretch>
                  </pic:blipFill>
                  <pic:spPr>
                    <a:xfrm>
                      <a:off x="0" y="0"/>
                      <a:ext cx="855980" cy="52959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ascii="宋体" w:hAnsi="宋体" w:eastAsia="宋体"/>
          <w:szCs w:val="21"/>
          <w:lang w:eastAsia="zh-CN"/>
        </w:rPr>
        <w:drawing>
          <wp:anchor distT="0" distB="0" distL="114300" distR="114300" simplePos="0" relativeHeight="251712512" behindDoc="0" locked="0" layoutInCell="1" allowOverlap="1">
            <wp:simplePos x="0" y="0"/>
            <wp:positionH relativeFrom="column">
              <wp:posOffset>1630045</wp:posOffset>
            </wp:positionH>
            <wp:positionV relativeFrom="paragraph">
              <wp:posOffset>157480</wp:posOffset>
            </wp:positionV>
            <wp:extent cx="698500" cy="318770"/>
            <wp:effectExtent l="0" t="0" r="2540" b="1270"/>
            <wp:wrapNone/>
            <wp:docPr id="5" name="图片 7" descr="余家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余家龙"/>
                    <pic:cNvPicPr>
                      <a:picLocks noChangeAspect="1"/>
                    </pic:cNvPicPr>
                  </pic:nvPicPr>
                  <pic:blipFill>
                    <a:blip r:embed="rId7"/>
                    <a:stretch>
                      <a:fillRect/>
                    </a:stretch>
                  </pic:blipFill>
                  <pic:spPr>
                    <a:xfrm>
                      <a:off x="0" y="0"/>
                      <a:ext cx="698500" cy="31877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500" w:firstLineChars="16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2021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1 </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 xml:space="preserve">5 </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bCs/>
          <w:color w:val="000000" w:themeColor="text1"/>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ascii="宋体" w:hAnsi="宋体"/>
          <w:szCs w:val="21"/>
        </w:rPr>
        <w:drawing>
          <wp:anchor distT="0" distB="0" distL="114300" distR="114300" simplePos="0" relativeHeight="251710464" behindDoc="1" locked="0" layoutInCell="1" allowOverlap="1">
            <wp:simplePos x="0" y="0"/>
            <wp:positionH relativeFrom="column">
              <wp:posOffset>694690</wp:posOffset>
            </wp:positionH>
            <wp:positionV relativeFrom="paragraph">
              <wp:posOffset>8890</wp:posOffset>
            </wp:positionV>
            <wp:extent cx="855980" cy="529590"/>
            <wp:effectExtent l="0" t="0" r="12700" b="3810"/>
            <wp:wrapNone/>
            <wp:docPr id="4" name="图片 6" descr="杨珍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杨珍全"/>
                    <pic:cNvPicPr>
                      <a:picLocks noChangeAspect="1"/>
                    </pic:cNvPicPr>
                  </pic:nvPicPr>
                  <pic:blipFill>
                    <a:blip r:embed="rId6"/>
                    <a:stretch>
                      <a:fillRect/>
                    </a:stretch>
                  </pic:blipFill>
                  <pic:spPr>
                    <a:xfrm>
                      <a:off x="0" y="0"/>
                      <a:ext cx="855980" cy="529590"/>
                    </a:xfrm>
                    <a:prstGeom prst="rect">
                      <a:avLst/>
                    </a:prstGeom>
                    <a:noFill/>
                    <a:ln>
                      <a:noFill/>
                    </a:ln>
                  </pic:spPr>
                </pic:pic>
              </a:graphicData>
            </a:graphic>
          </wp:anchor>
        </w:drawing>
      </w:r>
      <w:r>
        <w:rPr>
          <w:rFonts w:hint="eastAsia"/>
          <w:b/>
          <w:color w:val="000000" w:themeColor="text1"/>
          <w:szCs w:val="21"/>
        </w:rPr>
        <w:t xml:space="preserve">组长签字: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7 </w:t>
      </w:r>
      <w:r>
        <w:rPr>
          <w:rFonts w:hint="eastAsia" w:asciiTheme="minorEastAsia" w:hAnsiTheme="minorEastAsia" w:eastAsiaTheme="minorEastAsia"/>
          <w:b/>
          <w:color w:val="000000" w:themeColor="text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行楷">
    <w:altName w:val="微软雅黑"/>
    <w:panose1 w:val="0201080004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71F98"/>
    <w:multiLevelType w:val="singleLevel"/>
    <w:tmpl w:val="8F371F98"/>
    <w:lvl w:ilvl="0" w:tentative="0">
      <w:start w:val="2"/>
      <w:numFmt w:val="decimal"/>
      <w:lvlText w:val="%1."/>
      <w:lvlJc w:val="left"/>
      <w:pPr>
        <w:tabs>
          <w:tab w:val="left" w:pos="312"/>
        </w:tabs>
      </w:pPr>
    </w:lvl>
  </w:abstractNum>
  <w:abstractNum w:abstractNumId="1">
    <w:nsid w:val="CB7A90C5"/>
    <w:multiLevelType w:val="singleLevel"/>
    <w:tmpl w:val="CB7A90C5"/>
    <w:lvl w:ilvl="0" w:tentative="0">
      <w:start w:val="1"/>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26520A"/>
    <w:rsid w:val="371B6DB1"/>
    <w:rsid w:val="42714A12"/>
    <w:rsid w:val="7BB81E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2021-01-05T03:36:32Z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