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德阳中大电力成套设备制造有限公司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E：17.10.02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O：17.10.02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一般机械加工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工艺流程：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来料接件-----检验----机械加工（车、铣、钻等）-----焊接----检验---入库。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机械零部件加工尺寸精度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等控制风险</w:t>
            </w:r>
            <w:r>
              <w:rPr>
                <w:rFonts w:hint="eastAsia"/>
                <w:b/>
                <w:sz w:val="20"/>
                <w:lang w:eastAsia="zh-CN"/>
              </w:rPr>
              <w:t>，控制措施；人员培训合格上岗，设备定期维护保养。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噪声的排放、固体废弃物的排放、潜在火灾、废气的排放、废水的排放</w:t>
            </w:r>
          </w:p>
          <w:p>
            <w:pPr>
              <w:snapToGrid w:val="0"/>
              <w:spacing w:line="280" w:lineRule="exact"/>
              <w:jc w:val="both"/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潜在火灾、物体打击、触电、机械伤害、职业病、中暑</w:t>
            </w:r>
          </w:p>
          <w:p>
            <w:pPr>
              <w:snapToGrid w:val="0"/>
              <w:spacing w:line="280" w:lineRule="exact"/>
              <w:jc w:val="both"/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相关法律法规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t>中华人民共和国合同法、中华人民共和国劳动法、中华人民共和国安全消防法、中华人民共和国产品质量法、中华人民共和国消费者权益法等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</w:rPr>
              <w:t>中华人民共和国安全生产法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污水排入城镇下水道水质标准</w:t>
            </w: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（GB/T 31962-2015）工业企业厂界环境噪声排放标准</w:t>
            </w: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GB12348-2008</w:t>
            </w: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2类标准大气污染物综合排放标准（GB16297-1996）表2无组织排放监控浓度标准限值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62230</wp:posOffset>
            </wp:positionV>
            <wp:extent cx="781685" cy="483870"/>
            <wp:effectExtent l="0" t="0" r="10795" b="3810"/>
            <wp:wrapNone/>
            <wp:docPr id="2" name="图片 2" descr="杨珍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杨珍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1236980</wp:posOffset>
            </wp:positionH>
            <wp:positionV relativeFrom="paragraph">
              <wp:posOffset>66675</wp:posOffset>
            </wp:positionV>
            <wp:extent cx="791210" cy="489585"/>
            <wp:effectExtent l="0" t="0" r="1270" b="13335"/>
            <wp:wrapNone/>
            <wp:docPr id="4" name="图片 4" descr="杨珍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杨珍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>2021.1.4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2020.1.4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pStyle w:val="2"/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032EA0"/>
    <w:rsid w:val="49C379FB"/>
    <w:rsid w:val="62224CA1"/>
    <w:rsid w:val="7F1308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2021-01-04T06:46:53Z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