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0076-2016-2020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4"/>
        <w:gridCol w:w="921"/>
        <w:gridCol w:w="565"/>
        <w:gridCol w:w="1170"/>
        <w:gridCol w:w="776"/>
        <w:gridCol w:w="968"/>
        <w:gridCol w:w="580"/>
        <w:gridCol w:w="480"/>
        <w:gridCol w:w="913"/>
        <w:gridCol w:w="15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2级超声波水表出厂示值误差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检验过程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ind w:firstLine="840" w:firstLineChars="4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ind w:left="418" w:leftChars="16" w:hanging="384" w:hangingChars="1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水表出厂示值误差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0.67%</w:t>
            </w:r>
            <w:r>
              <w:rPr>
                <w:rFonts w:hint="eastAsia"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i/>
                <w:iCs/>
              </w:rPr>
              <w:t>k</w:t>
            </w:r>
            <w:r>
              <w:rPr>
                <w:rFonts w:hint="eastAsia" w:ascii="Times New Roman" w:hAnsi="Times New Roman" w:cs="Times New Roman"/>
              </w:rPr>
              <w:t>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7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ED-SLDK-F25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(4-1700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L</w:t>
            </w:r>
            <w:r>
              <w:rPr>
                <w:rFonts w:hint="eastAsia" w:ascii="Times New Roman" w:hAnsi="Times New Roman" w:cs="Times New Roman"/>
              </w:rPr>
              <w:t>/h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</w:rPr>
              <w:t>U</w:t>
            </w:r>
            <w:r>
              <w:rPr>
                <w:rFonts w:hint="eastAsia"/>
                <w:i/>
                <w:vertAlign w:val="subscript"/>
              </w:rPr>
              <w:t>rel</w:t>
            </w:r>
            <w:r>
              <w:rPr>
                <w:rFonts w:hint="eastAsia"/>
              </w:rPr>
              <w:t>＝0.09%（k=2）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/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GBT778.1-2007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JJG162-2009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肖林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实际不确定度小于等于允许不确定度过程有效，见有效性确认记录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每月使用核查标准进行10次重复测量，记录其示值，生成平均值及标准偏差，形成控制图。图形显示过程稳定受控。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03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查</w:t>
            </w:r>
            <w:r>
              <w:rPr>
                <w:rFonts w:hint="eastAsia"/>
                <w:szCs w:val="21"/>
              </w:rPr>
              <w:t>绘制</w:t>
            </w:r>
            <w:r>
              <w:rPr>
                <w:rFonts w:hint="eastAsia"/>
                <w:szCs w:val="21"/>
                <w:lang w:val="en-US" w:eastAsia="zh-CN"/>
              </w:rPr>
              <w:t>2020年</w:t>
            </w:r>
            <w:r>
              <w:rPr>
                <w:rFonts w:hint="eastAsia"/>
                <w:szCs w:val="21"/>
              </w:rPr>
              <w:t>的控制图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已进行培训合格后上岗；测量不确定度评定方法采用A、B类合成然后扩展，符合要求；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 w:eastAsia="宋体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hint="eastAsia" w:ascii="宋体" w:hAnsi="宋体" w:eastAsia="宋体"/>
                <w:szCs w:val="21"/>
              </w:rPr>
              <w:t>控制图</w:t>
            </w:r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4651375</wp:posOffset>
            </wp:positionH>
            <wp:positionV relativeFrom="paragraph">
              <wp:posOffset>48895</wp:posOffset>
            </wp:positionV>
            <wp:extent cx="1265555" cy="476250"/>
            <wp:effectExtent l="0" t="0" r="10795" b="0"/>
            <wp:wrapNone/>
            <wp:docPr id="3" name="图片 3" descr="C:\Users\ADMINI~1\AppData\Local\Temp\WeChat Files\abc340baec5768368807bc485d2c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abc340baec5768368807bc485d2c1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 t="30404" r="-340" b="41305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drawing>
          <wp:inline distT="0" distB="0" distL="114300" distR="114300">
            <wp:extent cx="541020" cy="323850"/>
            <wp:effectExtent l="0" t="0" r="5080" b="635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E3266"/>
    <w:rsid w:val="2F7E305E"/>
    <w:rsid w:val="61831837"/>
    <w:rsid w:val="7AE42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2021-01-10T02:20:53Z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