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0300-2019-QE-2021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宣城经济技术开发区管理委员会</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宣城经济技术开发区管理委员会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宣城市宝城路与鸿越大道交叉口</w:t>
            </w:r>
            <w:bookmarkEnd w:id="6"/>
          </w:p>
        </w:tc>
        <w:tc>
          <w:tcPr>
            <w:tcW w:w="1242" w:type="dxa"/>
            <w:vMerge w:val="restart"/>
            <w:vAlign w:val="center"/>
          </w:tcPr>
          <w:p>
            <w:r>
              <w:rPr>
                <w:rFonts w:hint="eastAsia"/>
              </w:rPr>
              <w:t>邮编</w:t>
            </w:r>
          </w:p>
        </w:tc>
        <w:tc>
          <w:tcPr>
            <w:tcW w:w="1771" w:type="dxa"/>
          </w:tcPr>
          <w:p>
            <w:bookmarkStart w:id="7" w:name="注册邮编"/>
            <w:r>
              <w:t>242000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宣城市宝城路与鸿越大道交叉口</w:t>
            </w:r>
            <w:bookmarkEnd w:id="8"/>
          </w:p>
        </w:tc>
        <w:tc>
          <w:tcPr>
            <w:tcW w:w="1242" w:type="dxa"/>
            <w:vMerge w:val="continue"/>
            <w:vAlign w:val="center"/>
          </w:tcPr>
          <w:p/>
        </w:tc>
        <w:tc>
          <w:tcPr>
            <w:tcW w:w="1771" w:type="dxa"/>
          </w:tcPr>
          <w:p>
            <w:bookmarkStart w:id="9" w:name="办公邮编"/>
            <w:r>
              <w:t>242000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盛开国</w:t>
            </w:r>
            <w:bookmarkEnd w:id="10"/>
          </w:p>
        </w:tc>
        <w:tc>
          <w:tcPr>
            <w:tcW w:w="1313" w:type="dxa"/>
            <w:vAlign w:val="center"/>
          </w:tcPr>
          <w:p>
            <w:r>
              <w:rPr>
                <w:rFonts w:hint="eastAsia"/>
              </w:rPr>
              <w:t>电话.</w:t>
            </w:r>
          </w:p>
        </w:tc>
        <w:tc>
          <w:tcPr>
            <w:tcW w:w="2180" w:type="dxa"/>
            <w:vAlign w:val="center"/>
          </w:tcPr>
          <w:p>
            <w:bookmarkStart w:id="11" w:name="联系人电话"/>
            <w:r>
              <w:t>0563-2626905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刘家和</w:t>
            </w:r>
            <w:bookmarkEnd w:id="13"/>
          </w:p>
        </w:tc>
        <w:tc>
          <w:tcPr>
            <w:tcW w:w="1313" w:type="dxa"/>
            <w:vAlign w:val="center"/>
          </w:tcPr>
          <w:p>
            <w:r>
              <w:rPr>
                <w:rFonts w:hint="eastAsia"/>
              </w:rPr>
              <w:t>管理者代表</w:t>
            </w:r>
          </w:p>
        </w:tc>
        <w:tc>
          <w:tcPr>
            <w:tcW w:w="2180" w:type="dxa"/>
          </w:tcPr>
          <w:p>
            <w:bookmarkStart w:id="14" w:name="管理者代表"/>
            <w:r>
              <w:t>盛开国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招商引资：招商引资项目策划——接待和洽谈——项目选址——办理土地供应手续——签约——受理入区申请——资格审查及入区注册审批——办理建设项目开工手续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项目入区建设过程：建设项目推进——建设项目规划审批——建设用地审批——工程招商——建设项目环境管理——程勘察设计——工程施工审批——工程竣工验收</w:t>
            </w:r>
          </w:p>
          <w:p>
            <w:r>
              <w:rPr>
                <w:rFonts w:hint="eastAsia" w:ascii="Times New Roman" w:hAnsi="Times New Roman" w:eastAsia="宋体" w:cs="宋体"/>
                <w:lang w:val="en-US" w:eastAsia="zh-CN"/>
              </w:rPr>
              <w:t>为入区企业服务过程：执法检查——环境管理——生产安全管理——企业党团工会组织建设管理——企业文明创建——其他专项服务提供</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2021年12月13日 上午至2021年12月14日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宣城市宝城路与鸿越大道交叉口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E：宣城经济技术开发区的行政管理服务及相关环境管理活动</w:t>
            </w:r>
          </w:p>
          <w:p>
            <w:r>
              <w:t>Q：宣城经济技术开发区的行政管理服务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E：35.03.00</w:t>
            </w:r>
          </w:p>
          <w:p>
            <w:r>
              <w:t>Q：35.03.00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sym w:font="Wingdings 2" w:char="0052"/>
            </w:r>
            <w:r>
              <w:rPr>
                <w:rFonts w:hint="eastAsia"/>
              </w:rPr>
              <w:t>其他：</w:t>
            </w:r>
            <w:r>
              <w:rPr>
                <w:rFonts w:hint="eastAsia" w:ascii="Times New Roman" w:hAnsi="Times New Roman" w:cs="Times New Roman"/>
                <w:lang w:val="en-US" w:eastAsia="zh-CN"/>
              </w:rPr>
              <w:t>因管委会提供的行政服务过程主要按照国家法律法规执行，因此8.3设计开发不适用。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bookmarkStart w:id="31" w:name="审核开始日"/>
            <w:r>
              <w:rPr>
                <w:rFonts w:hint="eastAsia" w:ascii="Times New Roman" w:hAnsi="Times New Roman" w:eastAsia="宋体" w:cs="Times New Roman"/>
                <w:lang w:val="en-US" w:eastAsia="zh-CN"/>
              </w:rPr>
              <w:t xml:space="preserve">2020年12月07日 </w:t>
            </w:r>
            <w:bookmarkEnd w:id="31"/>
            <w:r>
              <w:rPr>
                <w:rFonts w:hint="eastAsia" w:ascii="Times New Roman" w:hAnsi="Times New Roman" w:eastAsia="宋体" w:cs="Times New Roman"/>
                <w:lang w:val="en-US" w:eastAsia="zh-CN"/>
              </w:rPr>
              <w:t>至</w:t>
            </w:r>
            <w:bookmarkStart w:id="32" w:name="审核结束日"/>
            <w:r>
              <w:rPr>
                <w:rFonts w:hint="eastAsia" w:ascii="Times New Roman" w:hAnsi="Times New Roman" w:eastAsia="宋体" w:cs="Times New Roman"/>
                <w:lang w:val="en-US" w:eastAsia="zh-CN"/>
              </w:rPr>
              <w:t>2020年12月08日</w:t>
            </w:r>
            <w:bookmarkEnd w:id="32"/>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26"/>
        <w:gridCol w:w="1480"/>
        <w:gridCol w:w="787"/>
        <w:gridCol w:w="2173"/>
        <w:gridCol w:w="25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626" w:type="dxa"/>
            <w:shd w:val="clear" w:color="auto" w:fill="F3F3F3"/>
            <w:tcMar>
              <w:left w:w="57" w:type="dxa"/>
              <w:right w:w="57" w:type="dxa"/>
            </w:tcMar>
          </w:tcPr>
          <w:p>
            <w:r>
              <w:rPr>
                <w:rFonts w:hint="eastAsia"/>
              </w:rPr>
              <w:t>组织名称及注册场所地址</w:t>
            </w:r>
          </w:p>
        </w:tc>
        <w:tc>
          <w:tcPr>
            <w:tcW w:w="1480" w:type="dxa"/>
            <w:shd w:val="clear" w:color="auto" w:fill="F3F3F3"/>
            <w:tcMar>
              <w:left w:w="57" w:type="dxa"/>
              <w:right w:w="57" w:type="dxa"/>
            </w:tcMar>
          </w:tcPr>
          <w:p>
            <w:r>
              <w:rPr>
                <w:rFonts w:hint="eastAsia"/>
              </w:rPr>
              <w:t>经营场所的地址</w:t>
            </w:r>
          </w:p>
          <w:p>
            <w:r>
              <w:rPr>
                <w:rFonts w:hint="eastAsia"/>
              </w:rPr>
              <w:t>（多现场和临时现场）</w:t>
            </w:r>
          </w:p>
        </w:tc>
        <w:tc>
          <w:tcPr>
            <w:tcW w:w="787" w:type="dxa"/>
            <w:shd w:val="clear" w:color="auto" w:fill="F3F3F3"/>
            <w:tcMar>
              <w:left w:w="57" w:type="dxa"/>
              <w:right w:w="57" w:type="dxa"/>
            </w:tcMar>
          </w:tcPr>
          <w:p>
            <w:r>
              <w:rPr>
                <w:rFonts w:hint="eastAsia"/>
              </w:rPr>
              <w:t>员工人数</w:t>
            </w:r>
          </w:p>
        </w:tc>
        <w:tc>
          <w:tcPr>
            <w:tcW w:w="2173" w:type="dxa"/>
            <w:shd w:val="clear" w:color="auto" w:fill="F3F3F3"/>
            <w:tcMar>
              <w:left w:w="57" w:type="dxa"/>
              <w:right w:w="57" w:type="dxa"/>
            </w:tcMar>
          </w:tcPr>
          <w:p>
            <w:r>
              <w:rPr>
                <w:rFonts w:hint="eastAsia"/>
              </w:rPr>
              <w:t>审核范围（产品和过程）</w:t>
            </w:r>
          </w:p>
          <w:p/>
          <w:p/>
        </w:tc>
        <w:tc>
          <w:tcPr>
            <w:tcW w:w="251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626" w:type="dxa"/>
          </w:tcPr>
          <w:p>
            <w:pPr>
              <w:rPr>
                <w:lang w:val="de-DE" w:eastAsia="ja-JP"/>
              </w:rPr>
            </w:pPr>
            <w:r>
              <w:t>宣城经济技术开发区管理委员会宣城市宝城路与鸿越大道交叉口</w:t>
            </w:r>
          </w:p>
        </w:tc>
        <w:tc>
          <w:tcPr>
            <w:tcW w:w="1480" w:type="dxa"/>
          </w:tcPr>
          <w:p>
            <w:pPr>
              <w:rPr>
                <w:lang w:val="de-DE" w:eastAsia="ja-JP"/>
              </w:rPr>
            </w:pPr>
            <w:r>
              <w:t>宣城市宝城路与鸿越大道交叉口</w:t>
            </w:r>
          </w:p>
        </w:tc>
        <w:tc>
          <w:tcPr>
            <w:tcW w:w="787" w:type="dxa"/>
            <w:vAlign w:val="center"/>
          </w:tcPr>
          <w:p>
            <w:pPr>
              <w:rPr>
                <w:rFonts w:hint="default" w:eastAsia="宋体"/>
                <w:lang w:val="en-US" w:eastAsia="zh-CN"/>
              </w:rPr>
            </w:pPr>
            <w:r>
              <w:rPr>
                <w:rFonts w:hint="eastAsia"/>
                <w:lang w:val="en-US" w:eastAsia="zh-CN"/>
              </w:rPr>
              <w:t>46</w:t>
            </w:r>
          </w:p>
        </w:tc>
        <w:tc>
          <w:tcPr>
            <w:tcW w:w="2173" w:type="dxa"/>
            <w:vAlign w:val="center"/>
          </w:tcPr>
          <w:p>
            <w:r>
              <w:t>E：宣城经济技术开发区的行政管理服务及相关环境管理活动</w:t>
            </w:r>
          </w:p>
          <w:p>
            <w:pPr>
              <w:rPr>
                <w:lang w:eastAsia="ja-JP"/>
              </w:rPr>
            </w:pPr>
            <w:r>
              <w:t>Q：宣城经济技术开发区的行政管理服务</w:t>
            </w:r>
          </w:p>
        </w:tc>
        <w:tc>
          <w:tcPr>
            <w:tcW w:w="2511"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p>
        </w:tc>
        <w:tc>
          <w:tcPr>
            <w:tcW w:w="668" w:type="dxa"/>
            <w:shd w:val="clear" w:color="auto" w:fill="FFFFFF"/>
          </w:tcPr>
          <w:p>
            <w:r>
              <w:rPr>
                <w:rFonts w:hint="eastAsia"/>
              </w:rPr>
              <w:sym w:font="Wingdings 2" w:char="0052"/>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2020-N1EMS-1237307</w:t>
            </w:r>
          </w:p>
          <w:p>
            <w:r>
              <w:t>2020-N1QMS-1237307</w:t>
            </w:r>
          </w:p>
        </w:tc>
        <w:tc>
          <w:tcPr>
            <w:tcW w:w="2179" w:type="dxa"/>
            <w:vAlign w:val="center"/>
          </w:tcPr>
          <w:p>
            <w:r>
              <w:t>E:35.03.00</w:t>
            </w:r>
          </w:p>
          <w:p>
            <w:r>
              <w:t>Q:35.03.00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黄红</w:t>
            </w:r>
          </w:p>
        </w:tc>
        <w:tc>
          <w:tcPr>
            <w:tcW w:w="1089" w:type="dxa"/>
            <w:vAlign w:val="center"/>
          </w:tcPr>
          <w:p>
            <w:r>
              <w:t>组员</w:t>
            </w:r>
          </w:p>
        </w:tc>
        <w:tc>
          <w:tcPr>
            <w:tcW w:w="711" w:type="dxa"/>
            <w:vAlign w:val="center"/>
          </w:tcPr>
          <w:p>
            <w:r>
              <w:t>女</w:t>
            </w:r>
          </w:p>
        </w:tc>
        <w:tc>
          <w:tcPr>
            <w:tcW w:w="3870" w:type="dxa"/>
            <w:vAlign w:val="center"/>
          </w:tcPr>
          <w:p>
            <w:r>
              <w:t>2020-N0EMS-1263785</w:t>
            </w:r>
          </w:p>
          <w:p>
            <w:r>
              <w:t>2020-N0QMS-1263785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3" w:name="Q勾选Add2"/>
            <w:r>
              <w:rPr>
                <w:rFonts w:hint="eastAsia"/>
              </w:rPr>
              <w:t>■</w:t>
            </w:r>
            <w:bookmarkEnd w:id="3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E勾选Add2"/>
            <w:r>
              <w:rPr>
                <w:rFonts w:hint="eastAsia"/>
              </w:rPr>
              <w:t>■</w:t>
            </w:r>
            <w:bookmarkEnd w:id="3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S勾选Add2"/>
            <w:r>
              <w:rPr>
                <w:rFonts w:hint="eastAsia"/>
              </w:rPr>
              <w:t>□</w:t>
            </w:r>
            <w:bookmarkEnd w:id="3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647700" cy="344170"/>
                  <wp:effectExtent l="0" t="0" r="7620" b="6350"/>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647700" cy="344170"/>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w:t>
            </w:r>
            <w:r>
              <w:rPr>
                <w:rFonts w:hint="eastAsia"/>
              </w:rPr>
              <w:sym w:font="Wingdings 2" w:char="00A3"/>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val="en-US" w:eastAsia="zh-CN"/>
              </w:rPr>
              <w:t>物业管理、餐饮服务</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ascii="Times New Roman" w:hAnsi="Times New Roman" w:eastAsia="宋体" w:cs="Times New Roman"/>
                <w:lang w:val="zh-CN" w:eastAsia="zh-CN"/>
              </w:rPr>
            </w:pPr>
            <w:r>
              <w:rPr>
                <w:rFonts w:hint="eastAsia"/>
              </w:rPr>
              <w:t>最高管理者制定了文件化的管理体系方针：</w:t>
            </w:r>
            <w:r>
              <w:rPr>
                <w:rFonts w:hint="eastAsia" w:ascii="Times New Roman" w:hAnsi="Times New Roman" w:eastAsia="宋体" w:cs="Times New Roman"/>
                <w:lang w:val="zh-CN" w:eastAsia="zh-CN"/>
              </w:rPr>
              <w:t>依法管理、依法行政、服务至上、争创一流</w:t>
            </w:r>
          </w:p>
          <w:p>
            <w:pPr>
              <w:rPr>
                <w:u w:val="single"/>
              </w:rPr>
            </w:pPr>
            <w:r>
              <w:rPr>
                <w:rFonts w:hint="eastAsia" w:ascii="Times New Roman" w:hAnsi="Times New Roman" w:eastAsia="宋体" w:cs="Times New Roman"/>
                <w:lang w:val="zh-CN" w:eastAsia="zh-CN"/>
              </w:rPr>
              <w:t>科学规划、合理开发、优化环境、持续发展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1行政服务不能准时完成计划；2. 效率太低</w:t>
                  </w:r>
                </w:p>
              </w:tc>
              <w:tc>
                <w:tcPr>
                  <w:tcW w:w="3965" w:type="dxa"/>
                </w:tcPr>
                <w:p>
                  <w:pPr>
                    <w:shd w:val="clear" w:color="auto" w:fill="C7DAF1" w:themeFill="text2" w:themeFillTint="32"/>
                  </w:pPr>
                  <w:r>
                    <w:rPr>
                      <w:rFonts w:hint="eastAsia" w:ascii="Times New Roman" w:hAnsi="Times New Roman" w:eastAsia="宋体" w:cs="Times New Roman"/>
                      <w:lang w:val="en-US" w:eastAsia="zh-CN"/>
                    </w:rPr>
                    <w:t>行政服务计划管制；过程能力提前策划；行政服务规范</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1交流的对象不明确；2.交流的方法不当；3.交流未能保证最终结</w:t>
                  </w:r>
                </w:p>
              </w:tc>
              <w:tc>
                <w:tcPr>
                  <w:tcW w:w="3965" w:type="dxa"/>
                </w:tcPr>
                <w:p>
                  <w:pPr>
                    <w:shd w:val="clear" w:color="auto" w:fill="C7DAF1" w:themeFill="text2" w:themeFillTint="32"/>
                  </w:pPr>
                  <w:r>
                    <w:rPr>
                      <w:rFonts w:hint="eastAsia" w:ascii="Times New Roman" w:hAnsi="Times New Roman" w:eastAsia="宋体" w:cs="Times New Roman"/>
                      <w:lang w:val="en-US" w:eastAsia="zh-CN"/>
                    </w:rPr>
                    <w:t>1.建立有效的信息交流机制，以确保交流能够顺畅。2.配置适宜的信息交流设施，例如：网络、电话、传真等。3.必要的信息在交流过程中做好记录并跟进交流结果</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eastAsia="宋体" w:cs="Times New Roman"/>
                      <w:lang w:val="en-US" w:eastAsia="zh-CN"/>
                    </w:rPr>
                    <w:t>行政审批准确率100%；</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eastAsia="宋体" w:cs="Times New Roman"/>
                      <w:lang w:val="en-US" w:eastAsia="zh-CN"/>
                    </w:rPr>
                    <w:t>服务及时率100%；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eastAsia="宋体" w:cs="Times New Roman"/>
                      <w:lang w:val="en-US" w:eastAsia="zh-CN"/>
                    </w:rPr>
                    <w:t>综合评价满意度95%；</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color w:val="FF0000"/>
              </w:rPr>
              <w:t>建筑面积</w:t>
            </w:r>
            <w:r>
              <w:rPr>
                <w:rFonts w:hint="eastAsia"/>
                <w:color w:val="FF0000"/>
                <w:lang w:val="en-US" w:eastAsia="zh-CN"/>
              </w:rPr>
              <w:t>2000</w:t>
            </w:r>
            <w:r>
              <w:rPr>
                <w:rFonts w:hint="eastAsia"/>
                <w:color w:val="FF0000"/>
              </w:rPr>
              <w:t>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办公桌椅、存放文件的文件柜、电脑、打印机等，</w:t>
            </w:r>
          </w:p>
          <w:p>
            <w:pPr>
              <w:shd w:val="clear" w:color="auto" w:fill="C7DAF1" w:themeFill="text2" w:themeFillTint="32"/>
            </w:pPr>
            <w:r>
              <w:rPr>
                <w:rFonts w:hint="eastAsia"/>
              </w:rPr>
              <w:t>特种设备：不适用</w:t>
            </w:r>
          </w:p>
          <w:p>
            <w:pPr>
              <w:shd w:val="clear" w:color="auto" w:fill="C7DAF1" w:themeFill="text2" w:themeFillTint="32"/>
              <w:rPr>
                <w:rFonts w:hint="eastAsia" w:eastAsia="宋体"/>
                <w:u w:val="single"/>
                <w:lang w:eastAsia="zh-CN"/>
              </w:rPr>
            </w:pPr>
            <w:r>
              <w:rPr>
                <w:rFonts w:hint="eastAsia"/>
              </w:rPr>
              <w:t>特种设备管理：</w:t>
            </w:r>
            <w:r>
              <w:rPr>
                <w:rFonts w:hint="eastAsia" w:ascii="Wingdings" w:hAnsi="Wingdings"/>
                <w:lang w:val="en-US" w:eastAsia="zh-CN"/>
              </w:rPr>
              <w:t>不适用</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不适用</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管理软件</w:t>
            </w:r>
            <w:r>
              <w:rPr>
                <w:rFonts w:hint="eastAsia"/>
                <w:lang w:val="en-US" w:eastAsia="zh-CN"/>
              </w:rPr>
              <w:t xml:space="preserve"> </w:t>
            </w:r>
            <w:r>
              <w:rPr>
                <w:rFonts w:hint="eastAsia"/>
              </w:rPr>
              <w:t>企业标准</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不适用</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Times New Roman" w:hAnsi="Times New Roman" w:cs="Times New Roman"/>
                <w:lang w:val="en-US" w:eastAsia="zh-CN"/>
              </w:rPr>
              <w:t>物业管理、餐饮服务</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宣城经济技术开发区的行政管理服务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采购</w:t>
                  </w:r>
                </w:p>
              </w:tc>
              <w:tc>
                <w:tcPr>
                  <w:tcW w:w="3265" w:type="dxa"/>
                </w:tcPr>
                <w:p>
                  <w:pPr>
                    <w:shd w:val="clear" w:color="auto" w:fill="C7DAF1" w:themeFill="text2" w:themeFillTint="32"/>
                    <w:jc w:val="left"/>
                  </w:pPr>
                  <w:r>
                    <w:rPr>
                      <w:rFonts w:hint="eastAsia"/>
                      <w:lang w:val="en-US" w:eastAsia="zh-CN"/>
                    </w:rPr>
                    <w:t>对供方定期进行合格评定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宋体"/>
                <w:lang w:val="en-US" w:eastAsia="zh-CN"/>
              </w:rPr>
              <w:t>服务过程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r>
              <w:rPr>
                <w:rFonts w:hint="eastAsia"/>
                <w:sz w:val="21"/>
                <w:szCs w:val="21"/>
              </w:rPr>
              <w:t>顾客的个人信息</w:t>
            </w:r>
            <w:r>
              <w:rPr>
                <w:rFonts w:hint="eastAsia"/>
                <w:sz w:val="21"/>
                <w:szCs w:val="21"/>
                <w:lang w:val="en-US" w:eastAsia="zh-CN"/>
              </w:rPr>
              <w:t>及提交的各项资料</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1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《型式检验报告》，</w:t>
            </w:r>
            <w:r>
              <w:rPr>
                <w:rFonts w:hint="eastAsia"/>
                <w:lang w:val="en-US" w:eastAsia="zh-CN"/>
              </w:rPr>
              <w:t>不适用</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顾客赞扬。</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3</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A3"/>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w:t>
            </w:r>
            <w:r>
              <w:rPr>
                <w:rFonts w:hint="eastAsia"/>
              </w:rPr>
              <w:sym w:font="Wingdings 2" w:char="0052"/>
            </w:r>
            <w:r>
              <w:rPr>
                <w:rFonts w:hint="eastAsia"/>
              </w:rPr>
              <w:t>其他</w:t>
            </w:r>
            <w:r>
              <w:rPr>
                <w:rFonts w:hint="eastAsia"/>
                <w:lang w:val="en-US" w:eastAsia="zh-CN"/>
              </w:rPr>
              <w:t>物业管理、餐饮服务</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ascii="Times New Roman" w:hAnsi="Times New Roman" w:eastAsia="宋体" w:cs="Times New Roman"/>
                <w:lang w:val="zh-CN" w:eastAsia="zh-CN"/>
              </w:rPr>
            </w:pPr>
            <w:r>
              <w:rPr>
                <w:rFonts w:hint="eastAsia"/>
              </w:rPr>
              <w:t>最高管理者制定了文件化的管理体系方针：</w:t>
            </w:r>
            <w:r>
              <w:rPr>
                <w:rFonts w:hint="eastAsia" w:ascii="Times New Roman" w:hAnsi="Times New Roman" w:eastAsia="宋体" w:cs="Times New Roman"/>
                <w:lang w:val="zh-CN" w:eastAsia="zh-CN"/>
              </w:rPr>
              <w:t>依法管理、依法行政、服务至上、争创一流</w:t>
            </w:r>
          </w:p>
          <w:p>
            <w:pPr>
              <w:rPr>
                <w:u w:val="single"/>
              </w:rPr>
            </w:pPr>
            <w:r>
              <w:rPr>
                <w:rFonts w:hint="eastAsia" w:ascii="Times New Roman" w:hAnsi="Times New Roman" w:eastAsia="宋体" w:cs="Times New Roman"/>
                <w:lang w:val="zh-CN" w:eastAsia="zh-CN"/>
              </w:rPr>
              <w:t>科学规划、合理开发、优化环境、持续发展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Times New Roman" w:hAnsi="Times New Roman" w:eastAsia="宋体" w:cs="Times New Roman"/>
                    </w:rPr>
                  </w:pPr>
                  <w:r>
                    <w:rPr>
                      <w:rFonts w:hint="eastAsia" w:ascii="Times New Roman" w:hAnsi="Times New Roman" w:eastAsia="宋体" w:cs="Times New Roman"/>
                    </w:rPr>
                    <w:t>1.对环境因素识别不充分导致环境污染的发生。</w:t>
                  </w:r>
                </w:p>
                <w:p>
                  <w:pPr>
                    <w:rPr>
                      <w:rFonts w:hint="eastAsia" w:ascii="Times New Roman" w:hAnsi="Times New Roman" w:eastAsia="宋体" w:cs="Times New Roman"/>
                    </w:rPr>
                  </w:pPr>
                  <w:r>
                    <w:rPr>
                      <w:rFonts w:hint="eastAsia" w:ascii="Times New Roman" w:hAnsi="Times New Roman" w:eastAsia="宋体" w:cs="Times New Roman"/>
                    </w:rPr>
                    <w:t>2重要环境因素识别不充分导致严重环境污染的发生，</w:t>
                  </w:r>
                </w:p>
              </w:tc>
              <w:tc>
                <w:tcPr>
                  <w:tcW w:w="3965" w:type="dxa"/>
                </w:tcPr>
                <w:p>
                  <w:pPr>
                    <w:rPr>
                      <w:rFonts w:hint="eastAsia" w:ascii="Times New Roman" w:hAnsi="Times New Roman" w:eastAsia="宋体" w:cs="Times New Roman"/>
                    </w:rPr>
                  </w:pPr>
                  <w:r>
                    <w:rPr>
                      <w:rFonts w:hint="eastAsia" w:ascii="Times New Roman" w:hAnsi="Times New Roman" w:eastAsia="宋体" w:cs="Times New Roman"/>
                    </w:rPr>
                    <w:t>1.加强环境相关知识在组织的积累，努力拓宽环境知识收集渠道。</w:t>
                  </w:r>
                </w:p>
                <w:p>
                  <w:pPr>
                    <w:rPr>
                      <w:rFonts w:hint="eastAsia" w:ascii="Times New Roman" w:hAnsi="Times New Roman" w:eastAsia="宋体" w:cs="Times New Roman"/>
                    </w:rPr>
                  </w:pPr>
                  <w:r>
                    <w:rPr>
                      <w:rFonts w:hint="eastAsia" w:ascii="Times New Roman" w:hAnsi="Times New Roman" w:eastAsia="宋体" w:cs="Times New Roman"/>
                    </w:rPr>
                    <w:t>2.每年针对环境因素再评价时要重点关注法律法规、相关环境知识的更新情况，及时作出调整。</w:t>
                  </w:r>
                </w:p>
                <w:p>
                  <w:pPr>
                    <w:rPr>
                      <w:rFonts w:hint="eastAsia" w:ascii="Times New Roman" w:hAnsi="Times New Roman" w:eastAsia="宋体" w:cs="Times New Roman"/>
                    </w:rPr>
                  </w:pPr>
                  <w:r>
                    <w:rPr>
                      <w:rFonts w:hint="eastAsia" w:ascii="Times New Roman" w:hAnsi="Times New Roman" w:eastAsia="宋体" w:cs="Times New Roman"/>
                    </w:rPr>
                    <w:t>3.对重要环境因素识别工作的细节严格按照程序文件规定的方法进行，防止错误和遗漏发生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Times New Roman" w:hAnsi="Times New Roman" w:eastAsia="宋体" w:cs="Times New Roman"/>
                    </w:rPr>
                  </w:pPr>
                  <w:r>
                    <w:rPr>
                      <w:rFonts w:hint="eastAsia" w:ascii="Times New Roman" w:hAnsi="Times New Roman" w:eastAsia="宋体" w:cs="Times New Roman"/>
                    </w:rPr>
                    <w:t>1对相关环境法律法规识别不充分导致违法行为的发生。</w:t>
                  </w:r>
                </w:p>
                <w:p>
                  <w:pPr>
                    <w:rPr>
                      <w:rFonts w:hint="eastAsia" w:ascii="Times New Roman" w:hAnsi="Times New Roman" w:eastAsia="宋体" w:cs="Times New Roman"/>
                    </w:rPr>
                  </w:pPr>
                  <w:r>
                    <w:rPr>
                      <w:rFonts w:hint="eastAsia" w:ascii="Times New Roman" w:hAnsi="Times New Roman" w:eastAsia="宋体" w:cs="Times New Roman"/>
                    </w:rPr>
                    <w:t>2.使用失效的法律法规导致违法行为的发生。</w:t>
                  </w:r>
                </w:p>
                <w:p>
                  <w:pPr>
                    <w:rPr>
                      <w:rFonts w:hint="eastAsia" w:ascii="Times New Roman" w:hAnsi="Times New Roman" w:eastAsia="宋体" w:cs="Times New Roman"/>
                    </w:rPr>
                  </w:pPr>
                  <w:r>
                    <w:rPr>
                      <w:rFonts w:hint="eastAsia" w:ascii="Times New Roman" w:hAnsi="Times New Roman" w:eastAsia="宋体" w:cs="Times New Roman"/>
                    </w:rPr>
                    <w:t>2对相关法律法规理解不透彻导致违法行为的发生</w:t>
                  </w:r>
                </w:p>
              </w:tc>
              <w:tc>
                <w:tcPr>
                  <w:tcW w:w="3965" w:type="dxa"/>
                </w:tcPr>
                <w:p>
                  <w:pPr>
                    <w:rPr>
                      <w:rFonts w:hint="eastAsia" w:ascii="Times New Roman" w:hAnsi="Times New Roman" w:eastAsia="宋体" w:cs="Times New Roman"/>
                    </w:rPr>
                  </w:pPr>
                  <w:r>
                    <w:rPr>
                      <w:rFonts w:hint="eastAsia" w:ascii="Times New Roman" w:hAnsi="Times New Roman" w:eastAsia="宋体" w:cs="Times New Roman"/>
                    </w:rPr>
                    <w:t>1加强法律法规识别的评审工作，对适宜性重点评审，做到不遗漏。</w:t>
                  </w:r>
                </w:p>
                <w:p>
                  <w:pPr>
                    <w:rPr>
                      <w:rFonts w:hint="eastAsia" w:ascii="Times New Roman" w:hAnsi="Times New Roman" w:eastAsia="宋体" w:cs="Times New Roman"/>
                    </w:rPr>
                  </w:pPr>
                  <w:r>
                    <w:rPr>
                      <w:rFonts w:hint="eastAsia" w:ascii="Times New Roman" w:hAnsi="Times New Roman" w:eastAsia="宋体" w:cs="Times New Roman"/>
                    </w:rPr>
                    <w:t>2.认真核对法律法规的版本的有效性。</w:t>
                  </w:r>
                </w:p>
                <w:p>
                  <w:pPr>
                    <w:rPr>
                      <w:rFonts w:hint="eastAsia" w:ascii="Times New Roman" w:hAnsi="Times New Roman" w:eastAsia="宋体" w:cs="Times New Roman"/>
                    </w:rPr>
                  </w:pPr>
                  <w:r>
                    <w:rPr>
                      <w:rFonts w:hint="eastAsia" w:ascii="Times New Roman" w:hAnsi="Times New Roman" w:eastAsia="宋体" w:cs="Times New Roman"/>
                    </w:rPr>
                    <w:t> 3.加强法律法规的培训与学习，并及时验证培训的有效性</w:t>
                  </w:r>
                </w:p>
                <w:p>
                  <w:pPr>
                    <w:rPr>
                      <w:rFonts w:hint="eastAsia" w:ascii="Times New Roman" w:hAnsi="Times New Roman" w:eastAsia="宋体" w:cs="Times New Roman"/>
                    </w:rPr>
                  </w:pP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Times New Roman" w:hAnsi="Times New Roman" w:eastAsia="宋体" w:cs="Times New Roman"/>
                    </w:rPr>
                  </w:pPr>
                  <w:r>
                    <w:rPr>
                      <w:rFonts w:hint="eastAsia" w:ascii="Times New Roman" w:hAnsi="Times New Roman" w:eastAsia="宋体" w:cs="Times New Roman"/>
                    </w:rPr>
                    <w:t>1因应急预案不合理导致重大环境事故处理不当造成损失</w:t>
                  </w:r>
                </w:p>
              </w:tc>
              <w:tc>
                <w:tcPr>
                  <w:tcW w:w="3965" w:type="dxa"/>
                </w:tcPr>
                <w:p>
                  <w:pPr>
                    <w:rPr>
                      <w:rFonts w:hint="eastAsia" w:ascii="Times New Roman" w:hAnsi="Times New Roman" w:eastAsia="宋体" w:cs="Times New Roman"/>
                    </w:rPr>
                  </w:pPr>
                  <w:r>
                    <w:rPr>
                      <w:rFonts w:hint="eastAsia" w:ascii="Times New Roman" w:hAnsi="Times New Roman" w:eastAsia="宋体" w:cs="Times New Roman"/>
                    </w:rPr>
                    <w:t>1建立应急准备和响应控制程序，做好应急预案的编写、演练及评审工作，保证预案的可执行性。</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固体废弃物的排放按有害可回收、一般垃圾分类收集</w:t>
                  </w:r>
                </w:p>
              </w:tc>
              <w:tc>
                <w:tcPr>
                  <w:tcW w:w="3136" w:type="dxa"/>
                  <w:shd w:val="clear" w:color="auto" w:fill="auto"/>
                  <w:vAlign w:val="center"/>
                </w:tcPr>
                <w:p>
                  <w:pPr>
                    <w:rPr>
                      <w:lang w:val="en-GB"/>
                    </w:rPr>
                  </w:pPr>
                  <w:r>
                    <w:rPr>
                      <w:rFonts w:hint="eastAsia" w:ascii="Times New Roman" w:hAnsi="Times New Roman" w:eastAsia="宋体" w:cs="Times New Roman"/>
                      <w:lang w:val="en-US" w:eastAsia="zh-CN"/>
                    </w:rPr>
                    <w:t>1对固体废弃物按有害可回收、一般垃圾进行统一分类收集,废墨盒、晒鼓等有害废物交有资质单位/供方回收。2 生活垃圾交由物业公司统一处理。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相关部门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潜在火灾发生率为0；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1消防器材配备2普及消防安全知识，提高消防安全意识</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 xml:space="preserve">相关部门 </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color w:val="FF0000"/>
              </w:rPr>
              <w:t>建筑面积</w:t>
            </w:r>
            <w:r>
              <w:rPr>
                <w:rFonts w:hint="eastAsia"/>
                <w:color w:val="FF0000"/>
                <w:lang w:val="en-US" w:eastAsia="zh-CN"/>
              </w:rPr>
              <w:t>2000</w:t>
            </w:r>
            <w:r>
              <w:rPr>
                <w:rFonts w:hint="eastAsia"/>
                <w:color w:val="FF0000"/>
              </w:rPr>
              <w:t>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lang w:val="en-US" w:eastAsia="zh-CN"/>
              </w:rPr>
              <w:t>办公桌椅、存放文件的文件柜、电脑、打印机等</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lang w:eastAsia="zh-CN"/>
              </w:rPr>
              <w:t>：</w:t>
            </w:r>
            <w:r>
              <w:rPr>
                <w:rFonts w:hint="eastAsia"/>
                <w:lang w:val="en-US" w:eastAsia="zh-CN"/>
              </w:rPr>
              <w:t>不涉及</w:t>
            </w:r>
          </w:p>
          <w:p>
            <w:pPr>
              <w:shd w:val="clear" w:color="auto" w:fill="EBF1DE" w:themeFill="accent3" w:themeFillTint="32"/>
            </w:pPr>
            <w:r>
              <w:rPr>
                <w:rFonts w:hint="eastAsia"/>
              </w:rPr>
              <w:t>特种设备</w:t>
            </w:r>
            <w:r>
              <w:rPr>
                <w:rFonts w:hint="eastAsia"/>
                <w:lang w:eastAsia="zh-CN"/>
              </w:rPr>
              <w:t>：</w:t>
            </w:r>
            <w:r>
              <w:rPr>
                <w:rFonts w:hint="eastAsia"/>
              </w:rPr>
              <w:t>不适用</w:t>
            </w:r>
          </w:p>
          <w:p>
            <w:pPr>
              <w:shd w:val="clear" w:color="auto" w:fill="EBF1DE" w:themeFill="accent3" w:themeFillTint="32"/>
              <w:ind w:firstLine="1050" w:firstLineChars="500"/>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EBF1DE" w:themeFill="accent3"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EMS认证证书</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ascii="Times New Roman" w:hAnsi="Times New Roman" w:cs="Times New Roman"/>
                <w:lang w:val="en-US" w:eastAsia="zh-CN"/>
              </w:rPr>
              <w:t>物业管理、餐饮服务</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生活垃圾定期交物业回收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eastAsia="zh-CN"/>
              </w:rPr>
            </w:pPr>
            <w:r>
              <w:rPr>
                <w:rFonts w:hint="eastAsia"/>
              </w:rPr>
              <w:t>特种设备管理：</w:t>
            </w:r>
            <w:r>
              <w:rPr>
                <w:rFonts w:hint="eastAsia" w:ascii="Wingdings" w:hAnsi="Wingdings"/>
                <w:lang w:val="en-US" w:eastAsia="zh-CN"/>
              </w:rPr>
              <w:t>不适用</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eastAsia" w:eastAsia="宋体"/>
                <w:lang w:eastAsia="zh-CN"/>
              </w:rPr>
            </w:pPr>
            <w:r>
              <w:rPr>
                <w:rFonts w:hint="eastAsia"/>
              </w:rPr>
              <w:t>采用的标识方式：</w:t>
            </w:r>
            <w:r>
              <w:rPr>
                <w:rFonts w:hint="eastAsia"/>
                <w:lang w:val="en-US" w:eastAsia="zh-CN"/>
              </w:rPr>
              <w:t>不涉及</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ascii="Wingdings" w:hAnsi="Wingdings"/>
              </w:rPr>
            </w:pPr>
            <w:r>
              <w:rPr>
                <w:rFonts w:hint="eastAsia" w:ascii="Wingdings" w:hAnsi="Wingdings"/>
              </w:rPr>
              <w:t>¨</w:t>
            </w:r>
            <w:r>
              <w:rPr>
                <w:rFonts w:hint="eastAsia"/>
              </w:rPr>
              <w:t>火灾控制</w:t>
            </w:r>
            <w:r>
              <w:rPr>
                <w:rFonts w:hint="eastAsia" w:ascii="Wingdings" w:hAnsi="Wingdings"/>
              </w:rPr>
              <w:t>¨</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3</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r>
        <w:br w:type="page"/>
      </w:r>
      <w:bookmarkStart w:id="36" w:name="_GoBack"/>
      <w:bookmarkEnd w:id="36"/>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344FC7"/>
    <w:rsid w:val="245F48D5"/>
    <w:rsid w:val="3C17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3"/>
    <w:unhideWhenUsed/>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2021-12-17T00:38:27Z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