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auto"/>
          <w:sz w:val="32"/>
          <w:szCs w:val="32"/>
          <w:u w:val="single"/>
        </w:rPr>
      </w:pPr>
      <w:r>
        <w:rPr>
          <w:rFonts w:hint="eastAsia" w:ascii="楷体" w:hAnsi="楷体" w:eastAsia="楷体"/>
          <w:b/>
          <w:color w:val="000000"/>
          <w:sz w:val="32"/>
          <w:szCs w:val="32"/>
        </w:rPr>
        <w:t>受审核方：</w:t>
      </w:r>
      <w:r>
        <w:rPr>
          <w:rFonts w:ascii="宋体"/>
          <w:b/>
          <w:color w:val="auto"/>
          <w:sz w:val="32"/>
          <w:szCs w:val="32"/>
        </w:rPr>
        <w:t>酒钢（集团）宏联自控有限责任公司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2018-N1EMS-2031946</w:t>
            </w:r>
          </w:p>
          <w:p>
            <w:pPr>
              <w:jc w:val="center"/>
              <w:rPr>
                <w:b/>
                <w:sz w:val="21"/>
                <w:szCs w:val="21"/>
              </w:rPr>
            </w:pPr>
            <w:r>
              <w:rPr>
                <w:b/>
                <w:sz w:val="21"/>
                <w:szCs w:val="21"/>
              </w:rPr>
              <w:t>2019-N1OHSMS-2031946</w:t>
            </w:r>
          </w:p>
        </w:tc>
        <w:tc>
          <w:tcPr>
            <w:tcW w:w="1728" w:type="dxa"/>
            <w:gridSpan w:val="2"/>
            <w:vAlign w:val="center"/>
          </w:tcPr>
          <w:p>
            <w:pPr>
              <w:jc w:val="center"/>
              <w:rPr>
                <w:b/>
                <w:sz w:val="21"/>
                <w:szCs w:val="21"/>
              </w:rPr>
            </w:pPr>
            <w:r>
              <w:rPr>
                <w:b/>
                <w:sz w:val="21"/>
                <w:szCs w:val="21"/>
              </w:rPr>
              <w:t>E:19.09.02,28.04.02,28.07.03</w:t>
            </w:r>
          </w:p>
          <w:p>
            <w:pPr>
              <w:jc w:val="center"/>
              <w:rPr>
                <w:b/>
                <w:sz w:val="21"/>
                <w:szCs w:val="21"/>
              </w:rPr>
            </w:pPr>
            <w:r>
              <w:rPr>
                <w:b/>
                <w:sz w:val="21"/>
                <w:szCs w:val="21"/>
              </w:rPr>
              <w:t>O:19.09.02,28.04.02,28.07.03</w:t>
            </w:r>
          </w:p>
        </w:tc>
        <w:tc>
          <w:tcPr>
            <w:tcW w:w="1729" w:type="dxa"/>
            <w:gridSpan w:val="2"/>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875"/>
        <w:gridCol w:w="2091"/>
        <w:gridCol w:w="1663"/>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655" w:type="dxa"/>
            <w:gridSpan w:val="3"/>
          </w:tcPr>
          <w:p>
            <w:pPr>
              <w:spacing w:line="260" w:lineRule="exact"/>
              <w:rPr>
                <w:rFonts w:ascii="宋体"/>
                <w:b/>
                <w:color w:val="FF0000"/>
                <w:sz w:val="21"/>
              </w:rPr>
            </w:pPr>
            <w:bookmarkStart w:id="9" w:name="组织名称Add"/>
            <w:r>
              <w:rPr>
                <w:rFonts w:ascii="宋体"/>
                <w:b/>
                <w:color w:val="auto"/>
                <w:sz w:val="21"/>
              </w:rPr>
              <w:t>酒钢（集团）宏联自控有限责任公司</w:t>
            </w:r>
            <w:bookmarkEnd w:id="9"/>
          </w:p>
        </w:tc>
        <w:tc>
          <w:tcPr>
            <w:tcW w:w="1663"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270" w:type="dxa"/>
          </w:tcPr>
          <w:p>
            <w:pPr>
              <w:spacing w:line="260" w:lineRule="exact"/>
              <w:rPr>
                <w:rFonts w:hint="default" w:ascii="宋体" w:eastAsia="宋体"/>
                <w:b/>
                <w:sz w:val="21"/>
                <w:lang w:val="en-US" w:eastAsia="zh-CN"/>
              </w:rPr>
            </w:pPr>
            <w:r>
              <w:rPr>
                <w:rFonts w:hint="eastAsia" w:ascii="宋体"/>
                <w:b/>
                <w:sz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655" w:type="dxa"/>
            <w:gridSpan w:val="3"/>
          </w:tcPr>
          <w:p>
            <w:pPr>
              <w:rPr>
                <w:rFonts w:ascii="宋体"/>
                <w:b/>
                <w:sz w:val="21"/>
              </w:rPr>
            </w:pPr>
            <w:bookmarkStart w:id="10" w:name="注册地址"/>
            <w:r>
              <w:rPr>
                <w:rFonts w:ascii="宋体"/>
                <w:b/>
                <w:sz w:val="21"/>
              </w:rPr>
              <w:t>甘肃省嘉峪关市五一中路7号</w:t>
            </w:r>
            <w:bookmarkEnd w:id="10"/>
          </w:p>
        </w:tc>
        <w:tc>
          <w:tcPr>
            <w:tcW w:w="1663" w:type="dxa"/>
            <w:vMerge w:val="restart"/>
            <w:vAlign w:val="center"/>
          </w:tcPr>
          <w:p>
            <w:pPr>
              <w:jc w:val="center"/>
              <w:rPr>
                <w:rFonts w:ascii="宋体"/>
                <w:b/>
                <w:sz w:val="21"/>
              </w:rPr>
            </w:pPr>
            <w:r>
              <w:rPr>
                <w:rFonts w:hint="eastAsia" w:ascii="宋体" w:hAnsi="宋体"/>
                <w:b/>
                <w:sz w:val="21"/>
              </w:rPr>
              <w:t>邮编</w:t>
            </w:r>
          </w:p>
        </w:tc>
        <w:tc>
          <w:tcPr>
            <w:tcW w:w="1270" w:type="dxa"/>
          </w:tcPr>
          <w:p>
            <w:pPr>
              <w:rPr>
                <w:rFonts w:ascii="宋体"/>
                <w:b/>
                <w:sz w:val="21"/>
              </w:rPr>
            </w:pPr>
            <w:bookmarkStart w:id="11" w:name="注册邮编"/>
            <w:r>
              <w:rPr>
                <w:rFonts w:ascii="宋体"/>
                <w:b/>
                <w:sz w:val="21"/>
              </w:rPr>
              <w:t>735100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655" w:type="dxa"/>
            <w:gridSpan w:val="3"/>
          </w:tcPr>
          <w:p>
            <w:pPr>
              <w:rPr>
                <w:rFonts w:ascii="宋体"/>
                <w:b/>
                <w:sz w:val="21"/>
              </w:rPr>
            </w:pPr>
            <w:bookmarkStart w:id="12" w:name="办公地址"/>
            <w:r>
              <w:rPr>
                <w:rFonts w:ascii="宋体"/>
                <w:b/>
                <w:sz w:val="21"/>
              </w:rPr>
              <w:t>甘肃省嘉峪关市五一中路7号</w:t>
            </w:r>
            <w:bookmarkEnd w:id="12"/>
          </w:p>
        </w:tc>
        <w:tc>
          <w:tcPr>
            <w:tcW w:w="1663" w:type="dxa"/>
            <w:vMerge w:val="continue"/>
            <w:vAlign w:val="center"/>
          </w:tcPr>
          <w:p>
            <w:pPr>
              <w:jc w:val="center"/>
              <w:rPr>
                <w:rFonts w:ascii="宋体"/>
                <w:b/>
                <w:sz w:val="21"/>
              </w:rPr>
            </w:pPr>
          </w:p>
        </w:tc>
        <w:tc>
          <w:tcPr>
            <w:tcW w:w="1270" w:type="dxa"/>
          </w:tcPr>
          <w:p>
            <w:pPr>
              <w:rPr>
                <w:rFonts w:ascii="宋体"/>
                <w:b/>
                <w:sz w:val="21"/>
              </w:rPr>
            </w:pPr>
            <w:bookmarkStart w:id="13" w:name="办公邮编"/>
            <w:r>
              <w:rPr>
                <w:rFonts w:ascii="宋体"/>
                <w:b/>
                <w:sz w:val="21"/>
              </w:rPr>
              <w:t>735100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655" w:type="dxa"/>
            <w:gridSpan w:val="3"/>
          </w:tcPr>
          <w:p>
            <w:pPr>
              <w:rPr>
                <w:rFonts w:ascii="宋体"/>
                <w:b/>
                <w:sz w:val="21"/>
              </w:rPr>
            </w:pPr>
            <w:bookmarkStart w:id="14" w:name="生产地址Add"/>
            <w:r>
              <w:rPr>
                <w:rFonts w:ascii="宋体"/>
                <w:b/>
                <w:sz w:val="21"/>
              </w:rPr>
              <w:t>甘肃省嘉峪关市五一中路7号</w:t>
            </w:r>
            <w:bookmarkEnd w:id="14"/>
          </w:p>
        </w:tc>
        <w:tc>
          <w:tcPr>
            <w:tcW w:w="1663" w:type="dxa"/>
            <w:vMerge w:val="continue"/>
            <w:vAlign w:val="center"/>
          </w:tcPr>
          <w:p>
            <w:pPr>
              <w:jc w:val="center"/>
              <w:rPr>
                <w:rFonts w:ascii="宋体"/>
                <w:b/>
                <w:sz w:val="21"/>
              </w:rPr>
            </w:pPr>
          </w:p>
        </w:tc>
        <w:tc>
          <w:tcPr>
            <w:tcW w:w="1270" w:type="dxa"/>
          </w:tcPr>
          <w:p>
            <w:pPr>
              <w:rPr>
                <w:rFonts w:ascii="宋体"/>
                <w:b/>
                <w:sz w:val="21"/>
              </w:rPr>
            </w:pPr>
            <w:bookmarkStart w:id="15" w:name="生产邮编"/>
            <w:r>
              <w:rPr>
                <w:rFonts w:ascii="宋体"/>
                <w:b/>
                <w:sz w:val="21"/>
              </w:rPr>
              <w:t>735100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耿建军</w:t>
            </w:r>
            <w:bookmarkEnd w:id="16"/>
          </w:p>
        </w:tc>
        <w:tc>
          <w:tcPr>
            <w:tcW w:w="875" w:type="dxa"/>
            <w:vAlign w:val="center"/>
          </w:tcPr>
          <w:p>
            <w:pPr>
              <w:jc w:val="center"/>
              <w:rPr>
                <w:rFonts w:ascii="宋体"/>
                <w:b/>
                <w:sz w:val="21"/>
              </w:rPr>
            </w:pPr>
            <w:r>
              <w:rPr>
                <w:rFonts w:hint="eastAsia" w:ascii="宋体" w:hAnsi="宋体"/>
                <w:b/>
                <w:sz w:val="21"/>
              </w:rPr>
              <w:t>电话</w:t>
            </w:r>
            <w:r>
              <w:rPr>
                <w:b/>
                <w:sz w:val="16"/>
                <w:szCs w:val="16"/>
              </w:rPr>
              <w:t>.</w:t>
            </w:r>
          </w:p>
        </w:tc>
        <w:tc>
          <w:tcPr>
            <w:tcW w:w="2091" w:type="dxa"/>
            <w:vAlign w:val="center"/>
          </w:tcPr>
          <w:p>
            <w:pPr>
              <w:jc w:val="center"/>
              <w:rPr>
                <w:rFonts w:ascii="宋体"/>
                <w:b/>
                <w:sz w:val="21"/>
              </w:rPr>
            </w:pPr>
            <w:bookmarkStart w:id="17" w:name="联系人电话Add"/>
            <w:r>
              <w:rPr>
                <w:rFonts w:ascii="宋体"/>
                <w:b/>
                <w:sz w:val="21"/>
              </w:rPr>
              <w:t>18609477867</w:t>
            </w:r>
            <w:bookmarkEnd w:id="17"/>
          </w:p>
        </w:tc>
        <w:tc>
          <w:tcPr>
            <w:tcW w:w="1663" w:type="dxa"/>
            <w:vAlign w:val="center"/>
          </w:tcPr>
          <w:p>
            <w:pPr>
              <w:jc w:val="center"/>
              <w:rPr>
                <w:rFonts w:ascii="宋体"/>
                <w:b/>
                <w:sz w:val="21"/>
              </w:rPr>
            </w:pPr>
            <w:r>
              <w:rPr>
                <w:rFonts w:hint="eastAsia" w:ascii="宋体" w:hAnsi="宋体"/>
                <w:b/>
                <w:sz w:val="21"/>
              </w:rPr>
              <w:t>传真</w:t>
            </w:r>
          </w:p>
        </w:tc>
        <w:tc>
          <w:tcPr>
            <w:tcW w:w="127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杨高基</w:t>
            </w:r>
            <w:bookmarkEnd w:id="19"/>
          </w:p>
        </w:tc>
        <w:tc>
          <w:tcPr>
            <w:tcW w:w="875" w:type="dxa"/>
            <w:vAlign w:val="center"/>
          </w:tcPr>
          <w:p>
            <w:pPr>
              <w:jc w:val="center"/>
              <w:rPr>
                <w:rFonts w:ascii="宋体" w:hAnsi="宋体"/>
                <w:b/>
                <w:sz w:val="21"/>
                <w:szCs w:val="21"/>
              </w:rPr>
            </w:pPr>
            <w:r>
              <w:rPr>
                <w:rFonts w:hint="eastAsia" w:ascii="宋体" w:hAnsi="宋体"/>
                <w:b/>
                <w:sz w:val="21"/>
                <w:szCs w:val="21"/>
              </w:rPr>
              <w:t>总经理</w:t>
            </w:r>
          </w:p>
        </w:tc>
        <w:tc>
          <w:tcPr>
            <w:tcW w:w="2091" w:type="dxa"/>
          </w:tcPr>
          <w:p>
            <w:pPr>
              <w:rPr>
                <w:rFonts w:ascii="宋体" w:hAnsi="宋体"/>
                <w:b/>
                <w:sz w:val="21"/>
                <w:szCs w:val="21"/>
              </w:rPr>
            </w:pPr>
            <w:r>
              <w:rPr>
                <w:rFonts w:ascii="宋体" w:hAnsi="宋体"/>
                <w:b/>
                <w:sz w:val="21"/>
                <w:szCs w:val="21"/>
              </w:rPr>
              <w:t>杨高基</w:t>
            </w:r>
          </w:p>
        </w:tc>
        <w:tc>
          <w:tcPr>
            <w:tcW w:w="1663" w:type="dxa"/>
            <w:vAlign w:val="center"/>
          </w:tcPr>
          <w:p>
            <w:pPr>
              <w:jc w:val="center"/>
              <w:rPr>
                <w:rFonts w:ascii="宋体" w:hAnsi="宋体"/>
                <w:b/>
                <w:sz w:val="21"/>
                <w:szCs w:val="21"/>
              </w:rPr>
            </w:pPr>
            <w:r>
              <w:rPr>
                <w:rFonts w:hint="eastAsia" w:ascii="宋体" w:hAnsi="宋体"/>
                <w:b/>
                <w:sz w:val="21"/>
                <w:szCs w:val="21"/>
              </w:rPr>
              <w:t>管理者代表</w:t>
            </w:r>
          </w:p>
        </w:tc>
        <w:tc>
          <w:tcPr>
            <w:tcW w:w="1270" w:type="dxa"/>
          </w:tcPr>
          <w:p>
            <w:pPr>
              <w:rPr>
                <w:rFonts w:ascii="宋体"/>
                <w:b/>
                <w:sz w:val="21"/>
              </w:rPr>
            </w:pPr>
            <w:bookmarkStart w:id="20" w:name="管理者代表"/>
            <w:r>
              <w:rPr>
                <w:rFonts w:ascii="宋体"/>
                <w:b/>
                <w:sz w:val="21"/>
              </w:rPr>
              <w:t>李峰</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564" w:type="dxa"/>
            <w:gridSpan w:val="2"/>
            <w:vAlign w:val="center"/>
          </w:tcPr>
          <w:p>
            <w:pPr>
              <w:rPr>
                <w:rFonts w:ascii="宋体" w:hAnsi="宋体"/>
                <w:b/>
                <w:sz w:val="21"/>
                <w:szCs w:val="21"/>
              </w:rPr>
            </w:pPr>
            <w:bookmarkStart w:id="21" w:name="审核日期"/>
            <w:r>
              <w:rPr>
                <w:rFonts w:ascii="宋体" w:hAnsi="宋体"/>
                <w:b/>
                <w:sz w:val="21"/>
                <w:szCs w:val="21"/>
              </w:rPr>
              <w:t>2021年01月11日 上午至2021年01月12日 下午</w:t>
            </w:r>
            <w:bookmarkEnd w:id="21"/>
          </w:p>
        </w:tc>
        <w:tc>
          <w:tcPr>
            <w:tcW w:w="2091" w:type="dxa"/>
            <w:vAlign w:val="center"/>
          </w:tcPr>
          <w:p>
            <w:pPr>
              <w:rPr>
                <w:rFonts w:ascii="宋体" w:hAnsi="宋体"/>
                <w:b/>
                <w:sz w:val="21"/>
                <w:szCs w:val="21"/>
              </w:rPr>
            </w:pPr>
            <w:r>
              <w:rPr>
                <w:rFonts w:hint="eastAsia" w:ascii="宋体" w:hAnsi="宋体"/>
                <w:b/>
                <w:sz w:val="21"/>
                <w:szCs w:val="21"/>
              </w:rPr>
              <w:t>一体化审核</w:t>
            </w:r>
          </w:p>
        </w:tc>
        <w:tc>
          <w:tcPr>
            <w:tcW w:w="2933" w:type="dxa"/>
            <w:gridSpan w:val="2"/>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bookmarkStart w:id="24" w:name="审核范围"/>
          </w:p>
          <w:p>
            <w:pPr>
              <w:spacing w:line="360" w:lineRule="exact"/>
              <w:rPr>
                <w:sz w:val="20"/>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高、低压开关设备的设计、生产及相关服务，资质范围内的电力工程、机电工程施工总承包过程所涉及的相关环境管理活动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高、低压开关设备的设计、生产及相关服务，资质范围内的电力工程、机电工程施工总承包</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both"/>
              <w:rPr>
                <w:rFonts w:ascii="宋体" w:hAnsi="宋体"/>
                <w:b/>
                <w:sz w:val="21"/>
                <w:szCs w:val="21"/>
              </w:rPr>
            </w:pPr>
            <w:r>
              <w:rPr>
                <w:rFonts w:hint="eastAsia" w:ascii="宋体" w:hAnsi="宋体"/>
                <w:b/>
                <w:sz w:val="21"/>
                <w:szCs w:val="21"/>
              </w:rPr>
              <w:t>专业代码</w:t>
            </w:r>
          </w:p>
        </w:tc>
        <w:tc>
          <w:tcPr>
            <w:tcW w:w="1689" w:type="dxa"/>
            <w:vAlign w:val="center"/>
          </w:tcPr>
          <w:p>
            <w:pPr>
              <w:spacing w:line="260" w:lineRule="exact"/>
              <w:jc w:val="both"/>
              <w:rPr>
                <w:rFonts w:ascii="宋体" w:hAnsi="宋体"/>
                <w:b/>
                <w:sz w:val="21"/>
                <w:szCs w:val="21"/>
              </w:rPr>
            </w:pPr>
            <w:bookmarkStart w:id="27" w:name="专业代码"/>
            <w:r>
              <w:rPr>
                <w:rFonts w:ascii="宋体" w:hAnsi="宋体"/>
                <w:b/>
                <w:sz w:val="21"/>
                <w:szCs w:val="21"/>
              </w:rPr>
              <w:t>E：19.09.02;</w:t>
            </w:r>
          </w:p>
          <w:p>
            <w:pPr>
              <w:spacing w:line="260" w:lineRule="exact"/>
              <w:jc w:val="both"/>
              <w:rPr>
                <w:rFonts w:ascii="宋体" w:hAnsi="宋体"/>
                <w:b/>
                <w:sz w:val="21"/>
                <w:szCs w:val="21"/>
              </w:rPr>
            </w:pPr>
            <w:r>
              <w:rPr>
                <w:rFonts w:ascii="宋体" w:hAnsi="宋体"/>
                <w:b/>
                <w:sz w:val="21"/>
                <w:szCs w:val="21"/>
              </w:rPr>
              <w:t>28.04.02;28.07.03</w:t>
            </w:r>
          </w:p>
          <w:p>
            <w:pPr>
              <w:spacing w:line="260" w:lineRule="exact"/>
              <w:jc w:val="both"/>
              <w:rPr>
                <w:rFonts w:ascii="宋体" w:hAnsi="宋体"/>
                <w:b/>
                <w:sz w:val="21"/>
                <w:szCs w:val="21"/>
              </w:rPr>
            </w:pPr>
            <w:r>
              <w:rPr>
                <w:rFonts w:ascii="宋体" w:hAnsi="宋体"/>
                <w:b/>
                <w:sz w:val="21"/>
                <w:szCs w:val="21"/>
              </w:rPr>
              <w:t>O：19.09.02;</w:t>
            </w:r>
          </w:p>
          <w:p>
            <w:pPr>
              <w:spacing w:line="260" w:lineRule="exact"/>
              <w:jc w:val="both"/>
              <w:rPr>
                <w:rFonts w:ascii="宋体" w:hAnsi="宋体"/>
                <w:b/>
                <w:sz w:val="21"/>
                <w:szCs w:val="21"/>
              </w:rPr>
            </w:pPr>
            <w:r>
              <w:rPr>
                <w:rFonts w:ascii="宋体" w:hAnsi="宋体"/>
                <w:b/>
                <w:sz w:val="21"/>
                <w:szCs w:val="21"/>
              </w:rPr>
              <w:t>28.04.02;28.07.03</w:t>
            </w:r>
            <w:bookmarkEnd w:id="27"/>
          </w:p>
        </w:tc>
        <w:tc>
          <w:tcPr>
            <w:tcW w:w="875" w:type="dxa"/>
            <w:vAlign w:val="center"/>
          </w:tcPr>
          <w:p>
            <w:pPr>
              <w:spacing w:line="260" w:lineRule="exact"/>
              <w:jc w:val="both"/>
              <w:rPr>
                <w:rFonts w:ascii="宋体" w:hAnsi="宋体"/>
                <w:b/>
                <w:sz w:val="21"/>
                <w:szCs w:val="21"/>
              </w:rPr>
            </w:pPr>
            <w:r>
              <w:rPr>
                <w:rFonts w:hint="eastAsia" w:ascii="宋体" w:hAnsi="宋体"/>
                <w:b/>
                <w:sz w:val="21"/>
                <w:szCs w:val="21"/>
              </w:rPr>
              <w:t>证书有</w:t>
            </w:r>
          </w:p>
          <w:p>
            <w:pPr>
              <w:spacing w:line="260" w:lineRule="exact"/>
              <w:jc w:val="both"/>
              <w:rPr>
                <w:rFonts w:ascii="宋体" w:hAnsi="宋体"/>
                <w:b/>
                <w:sz w:val="21"/>
                <w:szCs w:val="21"/>
              </w:rPr>
            </w:pPr>
            <w:r>
              <w:rPr>
                <w:rFonts w:hint="eastAsia" w:ascii="宋体" w:hAnsi="宋体"/>
                <w:b/>
                <w:sz w:val="21"/>
                <w:szCs w:val="21"/>
              </w:rPr>
              <w:t>效期</w:t>
            </w:r>
          </w:p>
        </w:tc>
        <w:tc>
          <w:tcPr>
            <w:tcW w:w="2091" w:type="dxa"/>
            <w:vAlign w:val="center"/>
          </w:tcPr>
          <w:p>
            <w:pPr>
              <w:spacing w:line="260" w:lineRule="exact"/>
              <w:jc w:val="both"/>
              <w:rPr>
                <w:rFonts w:ascii="宋体" w:hAnsi="宋体"/>
                <w:b/>
                <w:sz w:val="21"/>
                <w:szCs w:val="21"/>
              </w:rPr>
            </w:pPr>
            <w:r>
              <w:rPr>
                <w:rFonts w:hint="eastAsia" w:ascii="宋体" w:hAnsi="宋体"/>
                <w:b/>
                <w:sz w:val="21"/>
                <w:szCs w:val="21"/>
              </w:rPr>
              <w:t>2</w:t>
            </w:r>
            <w:r>
              <w:rPr>
                <w:rFonts w:ascii="宋体" w:hAnsi="宋体"/>
                <w:b/>
                <w:sz w:val="21"/>
                <w:szCs w:val="21"/>
              </w:rPr>
              <w:t>021</w:t>
            </w:r>
            <w:r>
              <w:rPr>
                <w:rFonts w:hint="eastAsia" w:ascii="宋体" w:hAnsi="宋体"/>
                <w:b/>
                <w:sz w:val="21"/>
                <w:szCs w:val="21"/>
              </w:rPr>
              <w:t>年1</w:t>
            </w:r>
            <w:r>
              <w:rPr>
                <w:rFonts w:ascii="宋体" w:hAnsi="宋体"/>
                <w:b/>
                <w:sz w:val="21"/>
                <w:szCs w:val="21"/>
              </w:rPr>
              <w:t>2</w:t>
            </w:r>
            <w:r>
              <w:rPr>
                <w:rFonts w:hint="eastAsia" w:ascii="宋体" w:hAnsi="宋体"/>
                <w:b/>
                <w:sz w:val="21"/>
                <w:szCs w:val="21"/>
              </w:rPr>
              <w:t>月1</w:t>
            </w:r>
            <w:r>
              <w:rPr>
                <w:rFonts w:ascii="宋体" w:hAnsi="宋体"/>
                <w:b/>
                <w:sz w:val="21"/>
                <w:szCs w:val="21"/>
              </w:rPr>
              <w:t>7</w:t>
            </w:r>
            <w:r>
              <w:rPr>
                <w:rFonts w:hint="eastAsia" w:ascii="宋体" w:hAnsi="宋体"/>
                <w:b/>
                <w:sz w:val="21"/>
                <w:szCs w:val="21"/>
              </w:rPr>
              <w:t>日</w:t>
            </w:r>
          </w:p>
        </w:tc>
        <w:tc>
          <w:tcPr>
            <w:tcW w:w="1663" w:type="dxa"/>
            <w:vAlign w:val="center"/>
          </w:tcPr>
          <w:p>
            <w:pPr>
              <w:spacing w:line="260" w:lineRule="exact"/>
              <w:jc w:val="both"/>
              <w:rPr>
                <w:rFonts w:hint="eastAsia" w:ascii="宋体" w:hAnsi="宋体"/>
                <w:b/>
                <w:sz w:val="21"/>
                <w:szCs w:val="21"/>
              </w:rPr>
            </w:pPr>
            <w:r>
              <w:rPr>
                <w:rFonts w:hint="eastAsia" w:ascii="宋体" w:hAnsi="宋体"/>
                <w:b/>
                <w:sz w:val="21"/>
                <w:szCs w:val="21"/>
              </w:rPr>
              <w:t>上年度审核</w:t>
            </w:r>
          </w:p>
          <w:p>
            <w:pPr>
              <w:spacing w:line="260" w:lineRule="exact"/>
              <w:jc w:val="both"/>
              <w:rPr>
                <w:rFonts w:ascii="宋体" w:hAnsi="宋体"/>
                <w:b/>
                <w:sz w:val="21"/>
                <w:szCs w:val="21"/>
              </w:rPr>
            </w:pPr>
            <w:r>
              <w:rPr>
                <w:rFonts w:hint="eastAsia" w:ascii="宋体" w:hAnsi="宋体"/>
                <w:b/>
                <w:sz w:val="21"/>
                <w:szCs w:val="21"/>
              </w:rPr>
              <w:t>日期</w:t>
            </w:r>
          </w:p>
        </w:tc>
        <w:tc>
          <w:tcPr>
            <w:tcW w:w="1270" w:type="dxa"/>
            <w:vAlign w:val="center"/>
          </w:tcPr>
          <w:p>
            <w:pPr>
              <w:spacing w:line="260" w:lineRule="exact"/>
              <w:jc w:val="both"/>
              <w:rPr>
                <w:rFonts w:ascii="宋体"/>
                <w:b/>
                <w:sz w:val="21"/>
              </w:rPr>
            </w:pPr>
            <w:r>
              <w:rPr>
                <w:rFonts w:hint="eastAsia" w:ascii="宋体" w:hAnsi="宋体"/>
                <w:b/>
                <w:sz w:val="21"/>
                <w:szCs w:val="21"/>
              </w:rPr>
              <w:t>2</w:t>
            </w:r>
            <w:r>
              <w:rPr>
                <w:rFonts w:ascii="宋体" w:hAnsi="宋体"/>
                <w:b/>
                <w:sz w:val="21"/>
                <w:szCs w:val="21"/>
              </w:rPr>
              <w:t>021</w:t>
            </w:r>
            <w:r>
              <w:rPr>
                <w:rFonts w:hint="eastAsia" w:ascii="宋体" w:hAnsi="宋体"/>
                <w:b/>
                <w:sz w:val="21"/>
                <w:szCs w:val="21"/>
              </w:rPr>
              <w:t>年1</w:t>
            </w:r>
            <w:r>
              <w:rPr>
                <w:rFonts w:hint="eastAsia" w:ascii="宋体" w:hAnsi="宋体"/>
                <w:b/>
                <w:sz w:val="21"/>
                <w:szCs w:val="21"/>
                <w:lang w:val="en-US" w:eastAsia="zh-CN"/>
              </w:rPr>
              <w:t>2</w:t>
            </w:r>
            <w:r>
              <w:rPr>
                <w:rFonts w:hint="eastAsia" w:ascii="宋体" w:hAnsi="宋体"/>
                <w:b/>
                <w:sz w:val="21"/>
                <w:szCs w:val="21"/>
              </w:rPr>
              <w:t>月</w:t>
            </w:r>
            <w:r>
              <w:rPr>
                <w:rFonts w:hint="eastAsia" w:ascii="宋体" w:hAnsi="宋体"/>
                <w:b/>
                <w:sz w:val="21"/>
                <w:szCs w:val="21"/>
                <w:lang w:val="en-US" w:eastAsia="zh-CN"/>
              </w:rPr>
              <w:t>21-2</w:t>
            </w:r>
            <w:r>
              <w:rPr>
                <w:rFonts w:ascii="宋体" w:hAnsi="宋体"/>
                <w:b/>
                <w:sz w:val="21"/>
                <w:szCs w:val="21"/>
              </w:rPr>
              <w:t>7</w:t>
            </w:r>
            <w:r>
              <w:rPr>
                <w:rFonts w:hint="eastAsia" w:ascii="宋体" w:hAnsi="宋体"/>
                <w:b/>
                <w:sz w:val="21"/>
                <w:szCs w:val="21"/>
              </w:rPr>
              <w:t>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w:t>
      </w:r>
      <w:r>
        <w:rPr>
          <w:rFonts w:ascii="宋体" w:hAnsi="宋体"/>
          <w:b/>
          <w:sz w:val="21"/>
          <w:szCs w:val="21"/>
        </w:rPr>
        <w:t>019</w:t>
      </w:r>
      <w:r>
        <w:rPr>
          <w:rFonts w:hint="eastAsia" w:ascii="宋体" w:hAnsi="宋体"/>
          <w:b/>
          <w:sz w:val="21"/>
          <w:szCs w:val="21"/>
        </w:rPr>
        <w:t>年1</w:t>
      </w:r>
      <w:r>
        <w:rPr>
          <w:rFonts w:ascii="宋体" w:hAnsi="宋体"/>
          <w:b/>
          <w:sz w:val="21"/>
          <w:szCs w:val="21"/>
        </w:rPr>
        <w:t>1</w:t>
      </w:r>
      <w:r>
        <w:rPr>
          <w:rFonts w:hint="eastAsia" w:ascii="宋体" w:hAnsi="宋体"/>
          <w:b/>
          <w:sz w:val="21"/>
          <w:szCs w:val="21"/>
        </w:rPr>
        <w:t>月2</w:t>
      </w:r>
      <w:r>
        <w:rPr>
          <w:rFonts w:ascii="宋体" w:hAnsi="宋体"/>
          <w:b/>
          <w:sz w:val="21"/>
          <w:szCs w:val="21"/>
        </w:rPr>
        <w:t>7</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0"/>
              </w:rPr>
            </w:pPr>
            <w:r>
              <w:rPr>
                <w:rFonts w:ascii="宋体" w:hAnsi="宋体"/>
                <w:b/>
                <w:sz w:val="20"/>
              </w:rPr>
              <w:t>1</w:t>
            </w:r>
            <w:r>
              <w:rPr>
                <w:rFonts w:hint="eastAsia" w:ascii="宋体" w:hAnsi="宋体"/>
                <w:b/>
                <w:sz w:val="20"/>
              </w:rPr>
              <w:t>、组织及其环境的识别情况</w:t>
            </w:r>
          </w:p>
          <w:p>
            <w:pPr>
              <w:spacing w:line="240" w:lineRule="exact"/>
              <w:rPr>
                <w:rFonts w:ascii="宋体" w:hAnsi="宋体"/>
                <w:b/>
                <w:sz w:val="20"/>
              </w:rPr>
            </w:pPr>
            <w:r>
              <w:rPr>
                <w:rFonts w:hint="eastAsia" w:ascii="宋体" w:hAnsi="宋体"/>
                <w:b/>
                <w:sz w:val="20"/>
              </w:rPr>
              <w:t xml:space="preserve"> </w:t>
            </w:r>
            <w:r>
              <w:rPr>
                <w:rFonts w:ascii="宋体" w:hAnsi="宋体"/>
                <w:b/>
                <w:sz w:val="20"/>
              </w:rPr>
              <w:t xml:space="preserve">   </w:t>
            </w:r>
            <w:r>
              <w:rPr>
                <w:rFonts w:hint="eastAsia" w:ascii="宋体" w:hAnsi="宋体"/>
                <w:b/>
                <w:sz w:val="20"/>
              </w:rPr>
              <w:t>经营范围：高、低压开关设备的设计、生产及相关服务，资质范围内的电力工程、机电工程施工总承包过程。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02" w:firstLineChars="200"/>
              <w:rPr>
                <w:rFonts w:ascii="宋体" w:hAnsi="宋体"/>
                <w:b/>
                <w:sz w:val="20"/>
              </w:rPr>
            </w:pPr>
            <w:r>
              <w:rPr>
                <w:rFonts w:hint="eastAsia" w:ascii="宋体" w:hAnsi="宋体"/>
                <w:b/>
                <w:sz w:val="20"/>
              </w:rPr>
              <w:t>提供了《组织内外部环境因素识别表》：</w:t>
            </w:r>
          </w:p>
          <w:p>
            <w:pPr>
              <w:spacing w:line="240" w:lineRule="exact"/>
              <w:ind w:firstLine="402" w:firstLineChars="200"/>
              <w:rPr>
                <w:rFonts w:ascii="宋体" w:hAnsi="宋体"/>
                <w:b/>
                <w:sz w:val="20"/>
              </w:rPr>
            </w:pPr>
            <w:r>
              <w:rPr>
                <w:rFonts w:hint="eastAsia" w:ascii="宋体" w:hAnsi="宋体"/>
                <w:b/>
                <w:sz w:val="20"/>
              </w:rPr>
              <w:t>总经理确定与本公司环境和职业健康安全目标和战略方向相关并影响实现管理体系预期结果的各种内部因素和外部因素，包括了需要考虑的正面和负面因素或条件。</w:t>
            </w:r>
          </w:p>
          <w:p>
            <w:pPr>
              <w:spacing w:line="240" w:lineRule="exact"/>
              <w:rPr>
                <w:rFonts w:ascii="宋体" w:hAnsi="宋体"/>
                <w:b/>
                <w:sz w:val="20"/>
              </w:rPr>
            </w:pPr>
            <w:r>
              <w:rPr>
                <w:rFonts w:hint="eastAsia" w:ascii="宋体" w:hAnsi="宋体"/>
                <w:b/>
                <w:sz w:val="20"/>
              </w:rPr>
              <w:t>内部环境：资源因素－公司提供符合高、低压开关设备的设计、生产及相关服务，资质范围内的电力工程、机电工程施工总承包过程的场所，配备适宜的硬件和软件设施设备－信息来源：设施设备清单－具体现状描述：本公司设施设备可以确保高、低压开关设备的设计、生产及相关服务，资质范围内的电力工程、机电工程施工总承包过程基本的质量控制要求－SWOT分析：WT……</w:t>
            </w:r>
          </w:p>
          <w:p>
            <w:pPr>
              <w:spacing w:line="240" w:lineRule="exact"/>
              <w:ind w:firstLine="402" w:firstLineChars="200"/>
              <w:rPr>
                <w:rFonts w:ascii="宋体" w:hAnsi="宋体"/>
                <w:b/>
                <w:sz w:val="20"/>
              </w:rPr>
            </w:pPr>
            <w:r>
              <w:rPr>
                <w:rFonts w:hint="eastAsia" w:ascii="宋体" w:hAnsi="宋体"/>
                <w:b/>
                <w:sz w:val="20"/>
              </w:rPr>
              <w:t>外部环境：竞争力－公司类别：高、低压开关设备的设计、生产及相关服务，资质范围内的电力工程、机电工程施工总承包过程，当前市场占有率不高，其他类似企业比较多－信息来源：市场调查和分析－具体现状描述：本公司产品质量稳定，但在市场中同行也多，竞争压力大－SWOT分析：ST……公司管理层已确定了外部和内部因素，已经对经营环境、内外部环境进行分析并提出对策，并进行了监视和评审。实施开始时间：2019.7.15实施.</w:t>
            </w:r>
            <w:r>
              <w:rPr>
                <w:rFonts w:hint="eastAsia" w:ascii="宋体" w:hAnsi="宋体"/>
                <w:b/>
                <w:sz w:val="21"/>
                <w:szCs w:val="21"/>
              </w:rPr>
              <w:t xml:space="preserve"> 基本没有变化。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相关方包括顾客、所有者、组织中的成员、供应商、银行、工会、合伙人、竞争对手或社会团体或行业协会。在每年的管理评审前，由相关部门负责人进行识别并评估其适用性,具体部门及识别见管理评审输入。主要顾客群：酒钢集团公司各分子公司等。</w:t>
            </w:r>
          </w:p>
          <w:p>
            <w:pPr>
              <w:spacing w:line="240" w:lineRule="exact"/>
              <w:ind w:firstLine="422" w:firstLineChars="200"/>
              <w:rPr>
                <w:rFonts w:ascii="宋体" w:hAnsi="宋体"/>
                <w:b/>
                <w:sz w:val="21"/>
                <w:szCs w:val="21"/>
              </w:rPr>
            </w:pPr>
            <w:r>
              <w:rPr>
                <w:rFonts w:hint="eastAsia" w:ascii="宋体" w:hAnsi="宋体"/>
                <w:b/>
                <w:sz w:val="21"/>
                <w:szCs w:val="21"/>
              </w:rPr>
              <w:t>相关方期望或要求监测与更新：办公室每年在管理评审前组织一次全面的内外部环境要素识别与评审。</w:t>
            </w:r>
          </w:p>
          <w:p>
            <w:pPr>
              <w:spacing w:line="240" w:lineRule="exact"/>
              <w:ind w:firstLine="422" w:firstLineChars="200"/>
              <w:rPr>
                <w:rFonts w:ascii="宋体" w:hAnsi="宋体"/>
                <w:b/>
                <w:sz w:val="21"/>
                <w:szCs w:val="21"/>
              </w:rPr>
            </w:pPr>
            <w:r>
              <w:rPr>
                <w:rFonts w:hint="eastAsia" w:ascii="宋体" w:hAnsi="宋体"/>
                <w:b/>
                <w:sz w:val="21"/>
                <w:szCs w:val="21"/>
              </w:rPr>
              <w:t>各部门在获得内外部环境要素信息变化时，应及时告知管理者代表，由管理者代表对《相关方期望或要求识别表》进行修订。</w:t>
            </w:r>
          </w:p>
          <w:p>
            <w:pPr>
              <w:spacing w:line="240" w:lineRule="exact"/>
              <w:ind w:firstLine="422" w:firstLineChars="200"/>
              <w:rPr>
                <w:rFonts w:ascii="宋体" w:hAnsi="宋体"/>
                <w:b/>
                <w:sz w:val="21"/>
                <w:szCs w:val="21"/>
              </w:rPr>
            </w:pPr>
            <w:r>
              <w:rPr>
                <w:rFonts w:hint="eastAsia" w:ascii="宋体" w:hAnsi="宋体"/>
                <w:b/>
                <w:sz w:val="21"/>
                <w:szCs w:val="21"/>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80" w:lineRule="exact"/>
              <w:rPr>
                <w:rFonts w:ascii="宋体" w:hAnsi="宋体"/>
                <w:b/>
                <w:sz w:val="21"/>
                <w:szCs w:val="21"/>
              </w:rPr>
            </w:pPr>
            <w:r>
              <w:rPr>
                <w:rFonts w:ascii="宋体" w:hAnsi="宋体"/>
                <w:b/>
                <w:sz w:val="21"/>
                <w:szCs w:val="21"/>
              </w:rPr>
              <w:t xml:space="preserve">    </w:t>
            </w:r>
            <w:r>
              <w:rPr>
                <w:rFonts w:hint="eastAsia" w:ascii="宋体" w:hAnsi="宋体"/>
                <w:b/>
                <w:sz w:val="21"/>
                <w:szCs w:val="21"/>
              </w:rPr>
              <w:t>管理方针：“环保领先，节能降耗，预防污染；</w:t>
            </w:r>
          </w:p>
          <w:p>
            <w:pPr>
              <w:spacing w:line="280" w:lineRule="exact"/>
              <w:rPr>
                <w:rFonts w:ascii="宋体" w:hAnsi="宋体"/>
                <w:b/>
                <w:sz w:val="21"/>
                <w:szCs w:val="21"/>
              </w:rPr>
            </w:pPr>
            <w:r>
              <w:rPr>
                <w:rFonts w:hint="eastAsia" w:ascii="宋体" w:hAnsi="宋体"/>
                <w:b/>
                <w:sz w:val="21"/>
                <w:szCs w:val="21"/>
              </w:rPr>
              <w:t xml:space="preserve">            保障健康，安全第一，减少风险；</w:t>
            </w:r>
          </w:p>
          <w:p>
            <w:pPr>
              <w:spacing w:line="280" w:lineRule="exact"/>
              <w:rPr>
                <w:rFonts w:ascii="宋体" w:hAnsi="宋体"/>
                <w:b/>
                <w:sz w:val="21"/>
                <w:szCs w:val="21"/>
              </w:rPr>
            </w:pPr>
            <w:r>
              <w:rPr>
                <w:rFonts w:hint="eastAsia" w:ascii="宋体" w:hAnsi="宋体"/>
                <w:b/>
                <w:sz w:val="21"/>
                <w:szCs w:val="21"/>
              </w:rPr>
              <w:t xml:space="preserve">        遵守法纪，全员参与，持续改进。”，通过管理手册的分发和开会等沟通使全体员工理解方针，通过内审和管理评审保持方针的适宜性和有效性。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r>
              <w:rPr>
                <w:rFonts w:ascii="宋体" w:hAnsi="宋体"/>
                <w:b/>
                <w:sz w:val="21"/>
                <w:szCs w:val="21"/>
              </w:rPr>
              <w:t>QMS</w:t>
            </w:r>
            <w:r>
              <w:rPr>
                <w:rFonts w:hint="eastAsia" w:ascii="宋体" w:hAnsi="宋体"/>
                <w:b/>
                <w:sz w:val="21"/>
                <w:szCs w:val="21"/>
              </w:rPr>
              <w:t>）</w:t>
            </w:r>
          </w:p>
          <w:p>
            <w:pPr>
              <w:spacing w:line="28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6"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根据公司生产经营性质，识别了各部门和场所的环境因素，并对环境因素进行了评价，评价出了重要环境因素（噪声排放、废气排放、废水排放、固废排放、水电及原材料消耗、火灾爆炸)，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p>
          <w:p>
            <w:pPr>
              <w:spacing w:line="240" w:lineRule="exact"/>
              <w:ind w:firstLine="422" w:firstLineChars="200"/>
              <w:rPr>
                <w:rFonts w:ascii="宋体" w:hAnsi="宋体"/>
                <w:b/>
                <w:sz w:val="21"/>
                <w:szCs w:val="21"/>
              </w:rPr>
            </w:pPr>
            <w:r>
              <w:rPr>
                <w:rFonts w:hint="eastAsia" w:ascii="宋体" w:hAnsi="宋体"/>
                <w:b/>
                <w:sz w:val="21"/>
                <w:szCs w:val="21"/>
              </w:rPr>
              <w:t>根据组织经营性质，识别了各部门和场所的危险源，并对危险源进行了评价，评价出不可接受风险（火灾/爆炸、机械伤害、职业病伤害、触电、物体打击、高空坠落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获取法律法规项，■法律法规获取充分</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法律法规的宣传方式：■会议    ■网络    ■公示   ■其他</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在公司各职能和层次上建立了环境、职业健康安全目标，并制定了相应考核办法。基本适宜公司特点。</w:t>
            </w:r>
            <w:r>
              <w:rPr>
                <w:rFonts w:hint="eastAsia" w:ascii="宋体" w:hAnsi="宋体"/>
                <w:b/>
                <w:sz w:val="21"/>
                <w:szCs w:val="21"/>
                <w:lang w:val="en-US" w:eastAsia="zh-CN"/>
              </w:rPr>
              <w:t>查2020年</w:t>
            </w:r>
            <w:r>
              <w:rPr>
                <w:rFonts w:hint="eastAsia" w:ascii="宋体" w:hAnsi="宋体"/>
                <w:b/>
                <w:sz w:val="21"/>
                <w:szCs w:val="21"/>
              </w:rPr>
              <w:t>目标具有可测量性，对目标完成情况进行了考核。</w:t>
            </w:r>
          </w:p>
          <w:p>
            <w:pPr>
              <w:spacing w:line="240" w:lineRule="exact"/>
              <w:rPr>
                <w:rFonts w:ascii="宋体" w:hAnsi="宋体"/>
                <w:b/>
                <w:sz w:val="21"/>
                <w:szCs w:val="21"/>
              </w:rPr>
            </w:pPr>
            <w:r>
              <w:rPr>
                <w:rFonts w:hint="eastAsia" w:ascii="宋体" w:hAnsi="宋体"/>
                <w:b/>
                <w:sz w:val="21"/>
                <w:szCs w:val="21"/>
              </w:rPr>
              <w:t>对制订的管理方案实施情况定期进行检查。</w:t>
            </w:r>
          </w:p>
          <w:p>
            <w:pPr>
              <w:spacing w:line="240" w:lineRule="exact"/>
              <w:rPr>
                <w:rFonts w:ascii="宋体" w:hAnsi="宋体"/>
                <w:b/>
                <w:sz w:val="21"/>
                <w:szCs w:val="21"/>
              </w:rPr>
            </w:pPr>
            <w:r>
              <w:rPr>
                <w:rFonts w:hint="eastAsia" w:ascii="宋体" w:hAnsi="宋体"/>
                <w:b/>
                <w:sz w:val="21"/>
                <w:szCs w:val="21"/>
              </w:rPr>
              <w:t>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公司按照制定的文件和记录控制相关程序，对环境和职业健康安全管理体系有关的文件、记录等成文信息进行有效控制，在使用处均有文件的有效版本。公司文件为手册、程序文件、三层作业文件。</w:t>
            </w:r>
          </w:p>
          <w:p>
            <w:pPr>
              <w:tabs>
                <w:tab w:val="left" w:pos="540"/>
              </w:tabs>
              <w:spacing w:line="240" w:lineRule="exact"/>
              <w:ind w:firstLine="422" w:firstLineChars="200"/>
              <w:rPr>
                <w:rFonts w:ascii="宋体" w:hAnsi="宋体"/>
                <w:b/>
                <w:sz w:val="21"/>
                <w:szCs w:val="21"/>
              </w:rPr>
            </w:pPr>
            <w:r>
              <w:rPr>
                <w:rFonts w:hint="eastAsia" w:ascii="宋体" w:hAnsi="宋体"/>
                <w:b/>
                <w:sz w:val="21"/>
                <w:szCs w:val="21"/>
              </w:rPr>
              <w:t>创建和更新文件时，标识和说明、格式、评审和批准等与规定要求相符。</w:t>
            </w:r>
          </w:p>
          <w:p>
            <w:pPr>
              <w:tabs>
                <w:tab w:val="left" w:pos="540"/>
              </w:tabs>
              <w:spacing w:line="240" w:lineRule="exact"/>
              <w:ind w:firstLine="422" w:firstLineChars="200"/>
              <w:rPr>
                <w:rFonts w:ascii="宋体" w:hAnsi="宋体"/>
                <w:b/>
                <w:sz w:val="21"/>
                <w:szCs w:val="21"/>
              </w:rPr>
            </w:pPr>
            <w:r>
              <w:rPr>
                <w:rFonts w:hint="eastAsia" w:ascii="宋体" w:hAnsi="宋体"/>
                <w:b/>
                <w:sz w:val="21"/>
                <w:szCs w:val="21"/>
              </w:rPr>
              <w:t>文件的存在形式以书面文件和电子版文件为准。</w:t>
            </w:r>
          </w:p>
          <w:p>
            <w:pPr>
              <w:tabs>
                <w:tab w:val="left" w:pos="540"/>
              </w:tabs>
              <w:spacing w:line="240" w:lineRule="exact"/>
              <w:ind w:firstLine="422" w:firstLineChars="200"/>
              <w:rPr>
                <w:rFonts w:ascii="宋体" w:hAnsi="宋体"/>
                <w:b/>
                <w:sz w:val="21"/>
                <w:szCs w:val="21"/>
              </w:rPr>
            </w:pPr>
            <w:r>
              <w:rPr>
                <w:rFonts w:hint="eastAsia" w:ascii="宋体" w:hAnsi="宋体"/>
                <w:b/>
                <w:sz w:val="21"/>
                <w:szCs w:val="21"/>
              </w:rPr>
              <w:t>文审修订后成文信息的控制符合要求。自去年审核以来更改了职业健康安全标准，文件与记录控制满足要求。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该公司员工</w:t>
            </w:r>
            <w:r>
              <w:rPr>
                <w:rFonts w:ascii="宋体" w:hAnsi="宋体"/>
                <w:b/>
                <w:sz w:val="21"/>
                <w:szCs w:val="21"/>
              </w:rPr>
              <w:t>120</w:t>
            </w:r>
            <w:r>
              <w:rPr>
                <w:rFonts w:hint="eastAsia" w:ascii="宋体" w:hAnsi="宋体"/>
                <w:b/>
                <w:sz w:val="21"/>
                <w:szCs w:val="21"/>
              </w:rPr>
              <w:t>人，管理人员</w:t>
            </w:r>
            <w:r>
              <w:rPr>
                <w:rFonts w:ascii="宋体" w:hAnsi="宋体"/>
                <w:b/>
                <w:sz w:val="21"/>
                <w:szCs w:val="21"/>
              </w:rPr>
              <w:t>45</w:t>
            </w:r>
            <w:r>
              <w:rPr>
                <w:rFonts w:hint="eastAsia" w:ascii="宋体" w:hAnsi="宋体"/>
                <w:b/>
                <w:sz w:val="21"/>
                <w:szCs w:val="21"/>
              </w:rPr>
              <w:t>人，电焊工及安全员</w:t>
            </w:r>
            <w:r>
              <w:rPr>
                <w:rFonts w:hint="eastAsia" w:ascii="宋体" w:hAnsi="宋体"/>
                <w:b/>
                <w:sz w:val="21"/>
                <w:szCs w:val="21"/>
                <w:lang w:val="en-US" w:eastAsia="zh-CN"/>
              </w:rPr>
              <w:t>等</w:t>
            </w:r>
            <w:r>
              <w:rPr>
                <w:rFonts w:hint="eastAsia" w:ascii="宋体" w:hAnsi="宋体"/>
                <w:b/>
                <w:sz w:val="21"/>
                <w:szCs w:val="21"/>
              </w:rPr>
              <w:t>持证上岗，证书在有效期内，人力资源满足要求。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主要生产设备：自控激光切割机、自控冲床、自控折弯机、自控喷涂机、空气净化器等，设备适宜。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1.车间内有：自控激光切割机、自控冲床、自控折弯机、自控喷涂机、空气净化器等，设备适宜等，设备布局合理，状态良好，设备附近粘贴有设备安全操作规程等。</w:t>
            </w:r>
          </w:p>
          <w:p>
            <w:pPr>
              <w:spacing w:line="240" w:lineRule="exact"/>
              <w:rPr>
                <w:rFonts w:ascii="宋体" w:hAnsi="宋体"/>
                <w:b/>
                <w:sz w:val="21"/>
                <w:szCs w:val="21"/>
              </w:rPr>
            </w:pPr>
            <w:r>
              <w:rPr>
                <w:rFonts w:hint="eastAsia" w:ascii="宋体" w:hAnsi="宋体"/>
                <w:b/>
                <w:sz w:val="21"/>
                <w:szCs w:val="21"/>
              </w:rPr>
              <w:t>2.生产车间环境干净、整洁，基本满足生产洁净空间的需要。</w:t>
            </w:r>
          </w:p>
          <w:p>
            <w:pPr>
              <w:spacing w:line="240" w:lineRule="exact"/>
              <w:rPr>
                <w:rFonts w:ascii="宋体" w:hAnsi="宋体"/>
                <w:b/>
                <w:sz w:val="21"/>
                <w:szCs w:val="21"/>
              </w:rPr>
            </w:pPr>
            <w:r>
              <w:rPr>
                <w:rFonts w:hint="eastAsia" w:ascii="宋体" w:hAnsi="宋体"/>
                <w:b/>
                <w:sz w:val="21"/>
                <w:szCs w:val="21"/>
              </w:rPr>
              <w:t>3.成品库房，产品放置整齐、规范、稳固。</w:t>
            </w:r>
          </w:p>
          <w:p>
            <w:pPr>
              <w:spacing w:line="240" w:lineRule="exact"/>
              <w:rPr>
                <w:rFonts w:ascii="宋体" w:hAnsi="宋体"/>
                <w:b/>
                <w:sz w:val="21"/>
                <w:szCs w:val="21"/>
              </w:rPr>
            </w:pPr>
            <w:r>
              <w:rPr>
                <w:rFonts w:hint="eastAsia" w:ascii="宋体" w:hAnsi="宋体"/>
                <w:b/>
                <w:sz w:val="21"/>
                <w:szCs w:val="21"/>
              </w:rPr>
              <w:t>4.查生产车间布局合理，各类生产设备设施布置合理、物资摆放整齐，照明、采光符合生产要求，均配备了有效、足够数量的灭火器。</w:t>
            </w:r>
          </w:p>
          <w:p>
            <w:pPr>
              <w:spacing w:line="240" w:lineRule="exact"/>
              <w:rPr>
                <w:rFonts w:ascii="宋体" w:hAnsi="宋体"/>
                <w:b/>
                <w:sz w:val="21"/>
                <w:szCs w:val="21"/>
              </w:rPr>
            </w:pPr>
            <w:r>
              <w:rPr>
                <w:rFonts w:hint="eastAsia" w:ascii="宋体" w:hAnsi="宋体"/>
                <w:b/>
                <w:sz w:val="21"/>
                <w:szCs w:val="21"/>
              </w:rPr>
              <w:t>5.查办公区各场所地面整洁、墙壁干净能满足工作需要。</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游标卡尺、压力表、电子天平等，品种、规格能够满足产品符合性要求。检定时间</w:t>
            </w:r>
            <w:r>
              <w:rPr>
                <w:rFonts w:hint="eastAsia" w:ascii="宋体" w:hAnsi="宋体"/>
                <w:b/>
                <w:sz w:val="21"/>
                <w:szCs w:val="21"/>
                <w:lang w:val="en-US" w:eastAsia="zh-CN"/>
              </w:rPr>
              <w:t>在</w:t>
            </w:r>
            <w:r>
              <w:rPr>
                <w:rFonts w:hint="eastAsia" w:ascii="宋体" w:hAnsi="宋体"/>
                <w:b/>
                <w:sz w:val="21"/>
                <w:szCs w:val="21"/>
              </w:rPr>
              <w:t>有效</w:t>
            </w:r>
            <w:r>
              <w:rPr>
                <w:rFonts w:hint="eastAsia" w:ascii="宋体" w:hAnsi="宋体"/>
                <w:b/>
                <w:sz w:val="21"/>
                <w:szCs w:val="21"/>
                <w:lang w:val="en-US" w:eastAsia="zh-CN"/>
              </w:rPr>
              <w:t>期内</w:t>
            </w:r>
            <w:r>
              <w:rPr>
                <w:rFonts w:hint="eastAsia" w:ascii="宋体" w:hAnsi="宋体"/>
                <w:b/>
                <w:sz w:val="21"/>
                <w:szCs w:val="21"/>
              </w:rPr>
              <w:t>，见</w:t>
            </w:r>
            <w:r>
              <w:rPr>
                <w:rFonts w:hint="eastAsia" w:ascii="宋体" w:hAnsi="宋体"/>
                <w:b/>
                <w:sz w:val="21"/>
                <w:szCs w:val="21"/>
                <w:lang w:val="en-US" w:eastAsia="zh-CN"/>
              </w:rPr>
              <w:t>附</w:t>
            </w:r>
            <w:r>
              <w:rPr>
                <w:rFonts w:hint="eastAsia" w:ascii="宋体" w:hAnsi="宋体"/>
                <w:b/>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公司确定运行过程所需的知识，内部来源包括公司运作准则（管理制度、工作记录等）、专业技术应用、生产过程管理等。外部来源包括外来资料、法律法规、市场信息等。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空气净化器、自控激光切割机、自控喷涂机等自带除尘设备。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灭火器、消防栓、消防砂等消防设备设施，满足要求。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 xml:space="preserve"> 1. 管理方针：“环保领先，节能降耗，预防污染；</w:t>
            </w:r>
          </w:p>
          <w:p>
            <w:pPr>
              <w:spacing w:line="300" w:lineRule="exact"/>
              <w:rPr>
                <w:rFonts w:ascii="宋体" w:hAnsi="宋体"/>
                <w:b/>
                <w:sz w:val="21"/>
                <w:szCs w:val="21"/>
              </w:rPr>
            </w:pPr>
            <w:r>
              <w:rPr>
                <w:rFonts w:hint="eastAsia" w:ascii="宋体" w:hAnsi="宋体"/>
                <w:b/>
                <w:sz w:val="21"/>
                <w:szCs w:val="21"/>
              </w:rPr>
              <w:t xml:space="preserve">            保障健康，安全第一，减少风险；</w:t>
            </w:r>
          </w:p>
          <w:p>
            <w:pPr>
              <w:spacing w:line="300" w:lineRule="exact"/>
              <w:rPr>
                <w:rFonts w:ascii="宋体" w:hAnsi="宋体"/>
                <w:b/>
                <w:sz w:val="21"/>
                <w:szCs w:val="21"/>
              </w:rPr>
            </w:pPr>
            <w:r>
              <w:rPr>
                <w:rFonts w:hint="eastAsia" w:ascii="宋体" w:hAnsi="宋体"/>
                <w:b/>
                <w:sz w:val="21"/>
                <w:szCs w:val="21"/>
              </w:rPr>
              <w:t xml:space="preserve">        遵守法纪，全员参与，持续改进”</w:t>
            </w:r>
          </w:p>
          <w:p>
            <w:pPr>
              <w:spacing w:line="300" w:lineRule="exact"/>
              <w:rPr>
                <w:rFonts w:ascii="宋体" w:hAnsi="宋体"/>
                <w:b/>
                <w:sz w:val="21"/>
                <w:szCs w:val="21"/>
              </w:rPr>
            </w:pPr>
            <w:r>
              <w:rPr>
                <w:rFonts w:hint="eastAsia" w:ascii="宋体" w:hAnsi="宋体"/>
                <w:b/>
                <w:sz w:val="21"/>
                <w:szCs w:val="21"/>
              </w:rPr>
              <w:t>2. 管理方针与企业的经营宗旨相适应，协调；</w:t>
            </w:r>
          </w:p>
          <w:p>
            <w:pPr>
              <w:spacing w:line="300" w:lineRule="exact"/>
              <w:rPr>
                <w:rFonts w:ascii="宋体" w:hAnsi="宋体"/>
                <w:b/>
                <w:sz w:val="21"/>
                <w:szCs w:val="21"/>
              </w:rPr>
            </w:pPr>
            <w:r>
              <w:rPr>
                <w:rFonts w:hint="eastAsia" w:ascii="宋体" w:hAnsi="宋体"/>
                <w:b/>
                <w:sz w:val="21"/>
                <w:szCs w:val="21"/>
              </w:rPr>
              <w:t>3. 通过会议传达，沟通，让全体员工理解执行。并定期进行评审（一般一年一次）。</w:t>
            </w:r>
          </w:p>
          <w:p>
            <w:pPr>
              <w:spacing w:line="300" w:lineRule="exact"/>
              <w:rPr>
                <w:rFonts w:ascii="宋体" w:hAnsi="宋体"/>
                <w:b/>
                <w:sz w:val="21"/>
                <w:szCs w:val="21"/>
              </w:rPr>
            </w:pPr>
            <w:r>
              <w:rPr>
                <w:rFonts w:hint="eastAsia" w:ascii="宋体" w:hAnsi="宋体"/>
                <w:b/>
                <w:sz w:val="21"/>
                <w:szCs w:val="21"/>
              </w:rPr>
              <w:t>管理评审结论，方针有效、适宜和充分。</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r>
              <w:rPr>
                <w:rFonts w:hint="eastAsia" w:ascii="宋体" w:hAnsi="宋体"/>
                <w:b/>
                <w:sz w:val="21"/>
                <w:szCs w:val="21"/>
              </w:rPr>
              <w:t>内部沟通的情况：部沟通的情况：内部沟通方式：会议、公告栏、发放文件、网络等</w:t>
            </w:r>
          </w:p>
          <w:p>
            <w:pPr>
              <w:spacing w:line="240" w:lineRule="exact"/>
              <w:rPr>
                <w:rFonts w:ascii="宋体" w:hAnsi="宋体"/>
                <w:b/>
                <w:sz w:val="21"/>
                <w:szCs w:val="21"/>
              </w:rPr>
            </w:pPr>
            <w:r>
              <w:rPr>
                <w:rFonts w:hint="eastAsia" w:ascii="宋体" w:hAnsi="宋体"/>
                <w:b/>
                <w:sz w:val="21"/>
                <w:szCs w:val="21"/>
              </w:rPr>
              <w:t>内部沟通的效果：能够得到有效沟通</w:t>
            </w:r>
          </w:p>
          <w:p>
            <w:pPr>
              <w:spacing w:line="240" w:lineRule="exact"/>
              <w:rPr>
                <w:rFonts w:ascii="宋体" w:hAnsi="宋体"/>
                <w:b/>
                <w:sz w:val="21"/>
                <w:szCs w:val="21"/>
              </w:rPr>
            </w:pPr>
            <w:r>
              <w:rPr>
                <w:rFonts w:hint="eastAsia" w:ascii="宋体" w:hAnsi="宋体"/>
                <w:b/>
                <w:sz w:val="21"/>
                <w:szCs w:val="21"/>
              </w:rPr>
              <w:t xml:space="preserve">公司对外联络，关注顾客的感受情况（QMS）：/ </w:t>
            </w:r>
          </w:p>
          <w:p>
            <w:pPr>
              <w:spacing w:line="240" w:lineRule="exact"/>
              <w:rPr>
                <w:rFonts w:ascii="宋体" w:hAnsi="宋体"/>
                <w:b/>
                <w:sz w:val="21"/>
                <w:szCs w:val="21"/>
              </w:rPr>
            </w:pPr>
            <w:r>
              <w:rPr>
                <w:rFonts w:hint="eastAsia" w:ascii="宋体" w:hAnsi="宋体"/>
                <w:b/>
                <w:sz w:val="21"/>
                <w:szCs w:val="21"/>
              </w:rPr>
              <w:t>外部信息的接收、成文并答复的情况（E、S填写）：进行接收、答复，但未进行记录。</w:t>
            </w:r>
          </w:p>
          <w:p>
            <w:pPr>
              <w:spacing w:line="240" w:lineRule="exact"/>
              <w:rPr>
                <w:rFonts w:ascii="宋体" w:hAnsi="宋体"/>
                <w:b/>
                <w:sz w:val="21"/>
                <w:szCs w:val="21"/>
              </w:rPr>
            </w:pPr>
            <w:r>
              <w:rPr>
                <w:rFonts w:hint="eastAsia" w:ascii="宋体" w:hAnsi="宋体"/>
                <w:b/>
                <w:sz w:val="21"/>
                <w:szCs w:val="21"/>
              </w:rPr>
              <w:t>重要环境因素信息对外交流情况（EMS填写）：对相关方进行了书面告知。</w:t>
            </w:r>
          </w:p>
          <w:p>
            <w:pPr>
              <w:spacing w:line="240" w:lineRule="exact"/>
              <w:rPr>
                <w:rFonts w:ascii="宋体" w:hAnsi="宋体"/>
                <w:b/>
                <w:sz w:val="21"/>
                <w:szCs w:val="21"/>
              </w:rPr>
            </w:pPr>
            <w:r>
              <w:rPr>
                <w:rFonts w:hint="eastAsia" w:ascii="宋体" w:hAnsi="宋体"/>
                <w:b/>
                <w:sz w:val="21"/>
                <w:szCs w:val="21"/>
              </w:rPr>
              <w:t>OHSMS事务代表协商和交流的情况（OHSMS填写）：参与了管理体系文件的制定，每年召开一次员工代表会议，未保留记录。</w:t>
            </w:r>
          </w:p>
          <w:p>
            <w:pPr>
              <w:spacing w:line="240" w:lineRule="exact"/>
              <w:rPr>
                <w:rFonts w:ascii="宋体" w:hAnsi="宋体"/>
                <w:b/>
                <w:sz w:val="21"/>
                <w:szCs w:val="21"/>
              </w:rPr>
            </w:pPr>
            <w:r>
              <w:rPr>
                <w:rFonts w:hint="eastAsia" w:ascii="宋体" w:hAnsi="宋体"/>
                <w:b/>
                <w:sz w:val="21"/>
                <w:szCs w:val="21"/>
              </w:rPr>
              <w:t>与相关方协商的情况（OHSMS填写）：对相关方进行了书面告知。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能对发现的不符合项及时进行纠正和</w:t>
            </w:r>
            <w:r>
              <w:rPr>
                <w:rFonts w:hint="eastAsia" w:ascii="宋体" w:hAnsi="宋体"/>
                <w:b/>
                <w:sz w:val="21"/>
                <w:szCs w:val="21"/>
                <w:lang w:val="en-US" w:eastAsia="zh-CN"/>
              </w:rPr>
              <w:t>制定纠正措施</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7. EMS组织对重要环境因素实施控制的结果</w:t>
            </w:r>
          </w:p>
          <w:p>
            <w:pPr>
              <w:spacing w:line="240" w:lineRule="exact"/>
              <w:rPr>
                <w:b/>
                <w:color w:val="000000" w:themeColor="text1"/>
                <w:sz w:val="20"/>
              </w:rPr>
            </w:pPr>
            <w:r>
              <w:rPr>
                <w:rFonts w:hint="eastAsia"/>
                <w:b/>
                <w:color w:val="000000" w:themeColor="text1"/>
                <w:sz w:val="20"/>
              </w:rPr>
              <w:t>（EMS对重要环境因素控制，重大环境因素对周边环境产生的影响及控制;对相关方施加影响）</w:t>
            </w:r>
          </w:p>
          <w:p>
            <w:pPr>
              <w:spacing w:line="240" w:lineRule="exact"/>
              <w:rPr>
                <w:b/>
                <w:color w:val="000000" w:themeColor="text1"/>
                <w:sz w:val="20"/>
              </w:rPr>
            </w:pPr>
            <w:r>
              <w:rPr>
                <w:rFonts w:hint="eastAsia"/>
                <w:b/>
                <w:color w:val="000000" w:themeColor="text1"/>
                <w:sz w:val="20"/>
              </w:rPr>
              <w:t>对重要环境因素进行了识别（噪声排放、废气排放、废水排放、固废排放、水电及原材料消耗、火灾爆炸），控制基本有效。对周边环境影响不大，可得到有效控制。对相关方进行了必要告知。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8. OHSMS 组织对不可接受风险实施控制的结果</w:t>
            </w: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对不可接受危险源进行了识别（火灾/爆炸、机械伤害、职业病伤害、触电、物体打击、高空坠落等），控制基本有效。目前公司不可接受危险源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01" w:hanging="201" w:hangingChars="100"/>
              <w:rPr>
                <w:b/>
                <w:color w:val="000000" w:themeColor="text1"/>
                <w:sz w:val="20"/>
              </w:rPr>
            </w:pPr>
            <w:r>
              <w:rPr>
                <w:rFonts w:hint="eastAsia"/>
                <w:b/>
                <w:color w:val="000000" w:themeColor="text1"/>
                <w:sz w:val="20"/>
              </w:rPr>
              <w:t xml:space="preserve">9. 应急准备与相应活动的演练及对预案可行性的评价(当有规定时) </w:t>
            </w:r>
          </w:p>
          <w:p>
            <w:pPr>
              <w:spacing w:line="240" w:lineRule="exact"/>
              <w:rPr>
                <w:b/>
                <w:color w:val="000000" w:themeColor="text1"/>
                <w:spacing w:val="-4"/>
                <w:sz w:val="20"/>
              </w:rPr>
            </w:pPr>
            <w:r>
              <w:rPr>
                <w:rFonts w:hint="eastAsia"/>
                <w:b/>
                <w:color w:val="000000" w:themeColor="text1"/>
                <w:spacing w:val="-4"/>
                <w:sz w:val="20"/>
              </w:rPr>
              <w:t xml:space="preserve"> </w:t>
            </w:r>
            <w:r>
              <w:rPr>
                <w:b/>
                <w:color w:val="000000" w:themeColor="text1"/>
                <w:spacing w:val="-4"/>
                <w:sz w:val="20"/>
              </w:rPr>
              <w:t xml:space="preserve">   </w:t>
            </w:r>
          </w:p>
          <w:p>
            <w:pPr>
              <w:spacing w:line="240" w:lineRule="exact"/>
              <w:ind w:firstLine="386" w:firstLineChars="200"/>
              <w:rPr>
                <w:rFonts w:hint="default" w:eastAsia="宋体"/>
                <w:b/>
                <w:color w:val="000000" w:themeColor="text1"/>
                <w:spacing w:val="-4"/>
                <w:sz w:val="20"/>
                <w:lang w:val="en-US" w:eastAsia="zh-CN"/>
              </w:rPr>
            </w:pPr>
            <w:r>
              <w:rPr>
                <w:rFonts w:hint="eastAsia"/>
                <w:b/>
                <w:color w:val="000000" w:themeColor="text1"/>
                <w:spacing w:val="-4"/>
                <w:sz w:val="20"/>
              </w:rPr>
              <w:t>对火灾、触电、机械伤害、高空坠落突发事件等制定了应急预案，</w:t>
            </w:r>
            <w:r>
              <w:rPr>
                <w:rFonts w:hint="eastAsia"/>
                <w:b/>
                <w:color w:val="000000" w:themeColor="text1"/>
                <w:spacing w:val="-4"/>
                <w:sz w:val="20"/>
                <w:lang w:val="en-US" w:eastAsia="zh-CN"/>
              </w:rPr>
              <w:t>未</w:t>
            </w:r>
            <w:r>
              <w:rPr>
                <w:rFonts w:hint="eastAsia"/>
                <w:b/>
                <w:color w:val="000000" w:themeColor="text1"/>
                <w:spacing w:val="-4"/>
                <w:sz w:val="20"/>
              </w:rPr>
              <w:t>提供火灾“应急预案演练记录”，</w:t>
            </w:r>
            <w:r>
              <w:rPr>
                <w:rFonts w:hint="eastAsia"/>
                <w:b/>
                <w:color w:val="000000" w:themeColor="text1"/>
                <w:spacing w:val="-4"/>
                <w:sz w:val="20"/>
                <w:lang w:val="en-US" w:eastAsia="zh-CN"/>
              </w:rPr>
              <w:t>开具不符合1项。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 xml:space="preserve">10. 对特种设备的维护，检定; </w:t>
            </w:r>
          </w:p>
          <w:p>
            <w:pPr>
              <w:spacing w:line="240" w:lineRule="exact"/>
              <w:rPr>
                <w:b/>
                <w:color w:val="000000" w:themeColor="text1"/>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特种设备叉车、</w:t>
            </w:r>
            <w:r>
              <w:rPr>
                <w:rFonts w:hint="eastAsia"/>
                <w:b/>
                <w:color w:val="000000" w:themeColor="text1"/>
                <w:sz w:val="20"/>
                <w:lang w:val="en-US" w:eastAsia="zh-CN"/>
              </w:rPr>
              <w:t>储气罐</w:t>
            </w:r>
            <w:r>
              <w:rPr>
                <w:rFonts w:hint="eastAsia"/>
                <w:b/>
                <w:color w:val="000000" w:themeColor="text1"/>
                <w:sz w:val="20"/>
              </w:rPr>
              <w:t>进行检定。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11 .对危险化学品生产、使用、储存、运输处置，规定的执行力度(必要时);</w:t>
            </w:r>
          </w:p>
          <w:p>
            <w:pPr>
              <w:spacing w:line="240" w:lineRule="exact"/>
              <w:rPr>
                <w:b/>
                <w:color w:val="000000" w:themeColor="text1"/>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危险化学品使用、储存和运输处置制定管理规定及危险废物管理计划备案登记表。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0" w:hanging="100" w:hangingChars="50"/>
              <w:rPr>
                <w:b/>
                <w:color w:val="000000" w:themeColor="text1"/>
                <w:sz w:val="20"/>
              </w:rPr>
            </w:pPr>
            <w:r>
              <w:rPr>
                <w:rFonts w:hint="eastAsia"/>
                <w:b/>
                <w:color w:val="000000" w:themeColor="text1"/>
                <w:sz w:val="20"/>
              </w:rPr>
              <w:t>1. .对质量/环境/职业健康安全目标指标进行定期监测/检查情况</w:t>
            </w:r>
          </w:p>
          <w:p>
            <w:pPr>
              <w:spacing w:line="240" w:lineRule="exact"/>
              <w:ind w:left="100" w:hanging="100" w:hangingChars="50"/>
              <w:rPr>
                <w:b/>
                <w:color w:val="000000" w:themeColor="text1"/>
                <w:sz w:val="20"/>
              </w:rPr>
            </w:pPr>
          </w:p>
          <w:p>
            <w:pPr>
              <w:spacing w:line="240" w:lineRule="exact"/>
              <w:ind w:firstLine="405"/>
              <w:rPr>
                <w:b/>
                <w:color w:val="000000" w:themeColor="text1"/>
                <w:sz w:val="20"/>
              </w:rPr>
            </w:pPr>
            <w:r>
              <w:rPr>
                <w:rFonts w:hint="eastAsia"/>
                <w:b/>
                <w:color w:val="000000" w:themeColor="text1"/>
                <w:sz w:val="20"/>
              </w:rPr>
              <w:t>对环境、职业健康安全目标进行了考核，查到20</w:t>
            </w:r>
            <w:r>
              <w:rPr>
                <w:rFonts w:hint="eastAsia"/>
                <w:b/>
                <w:color w:val="000000" w:themeColor="text1"/>
                <w:sz w:val="20"/>
                <w:lang w:val="en-US" w:eastAsia="zh-CN"/>
              </w:rPr>
              <w:t>20</w:t>
            </w:r>
            <w:r>
              <w:rPr>
                <w:rFonts w:hint="eastAsia"/>
                <w:b/>
                <w:color w:val="000000" w:themeColor="text1"/>
                <w:sz w:val="20"/>
              </w:rPr>
              <w:t>年</w:t>
            </w:r>
            <w:r>
              <w:rPr>
                <w:rFonts w:hint="eastAsia"/>
                <w:b/>
                <w:color w:val="000000" w:themeColor="text1"/>
                <w:sz w:val="20"/>
                <w:lang w:val="en-US" w:eastAsia="zh-CN"/>
              </w:rPr>
              <w:t>1-4</w:t>
            </w:r>
            <w:r>
              <w:rPr>
                <w:rFonts w:hint="eastAsia"/>
                <w:b/>
                <w:color w:val="000000" w:themeColor="text1"/>
                <w:sz w:val="20"/>
              </w:rPr>
              <w:t>季度公司及各部门完成情况，各项环境、职业健康安全目标均已完成。</w:t>
            </w:r>
          </w:p>
          <w:p>
            <w:pPr>
              <w:spacing w:line="240" w:lineRule="exact"/>
              <w:ind w:firstLine="405"/>
              <w:rPr>
                <w:b/>
                <w:color w:val="000000" w:themeColor="text1"/>
                <w:sz w:val="20"/>
              </w:rPr>
            </w:pPr>
            <w:r>
              <w:rPr>
                <w:rFonts w:hint="eastAsia"/>
                <w:b/>
                <w:color w:val="000000" w:themeColor="text1"/>
                <w:sz w:val="20"/>
              </w:rPr>
              <w:t>目标、指标具备可测量性，管理方案适宜。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0" w:hanging="100" w:hangingChars="50"/>
              <w:rPr>
                <w:b/>
                <w:color w:val="000000" w:themeColor="text1"/>
                <w:sz w:val="20"/>
              </w:rPr>
            </w:pPr>
            <w:r>
              <w:rPr>
                <w:rFonts w:hint="eastAsia"/>
                <w:b/>
                <w:color w:val="000000" w:themeColor="text1"/>
                <w:sz w:val="20"/>
              </w:rPr>
              <w:t>2.顾客满意</w:t>
            </w:r>
          </w:p>
          <w:p>
            <w:pPr>
              <w:spacing w:line="240" w:lineRule="exact"/>
              <w:ind w:left="100" w:hanging="100" w:hangingChars="50"/>
              <w:rPr>
                <w:b/>
                <w:color w:val="000000" w:themeColor="text1"/>
                <w:sz w:val="20"/>
              </w:rPr>
            </w:pPr>
          </w:p>
          <w:p>
            <w:pPr>
              <w:spacing w:line="240" w:lineRule="exact"/>
              <w:ind w:left="100" w:hanging="100" w:hangingChars="50"/>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能稳定向顾客提供较满意的产品。对顾客进行满意度调查，并进行了简要分析。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3. 内审（包括内审策划审核方案中考虑拟审核的过程和区域的状况和重要性）</w:t>
            </w:r>
          </w:p>
          <w:p>
            <w:pPr>
              <w:spacing w:line="240" w:lineRule="exact"/>
              <w:rPr>
                <w:b/>
                <w:color w:val="000000" w:themeColor="text1"/>
                <w:spacing w:val="-8"/>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本年度内审已按计划实施，内审策划审核方案中考虑了拟审核的过程和区域的状况和重要性，内审结论：体系运行基本有效。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4.管理评审（管理评审体系变更需求，纠正和预防措施、体系有效性等）</w:t>
            </w:r>
          </w:p>
          <w:p>
            <w:pPr>
              <w:spacing w:line="240" w:lineRule="exact"/>
              <w:rPr>
                <w:b/>
                <w:color w:val="000000" w:themeColor="text1"/>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本年度管理评审已按计划实施，管理评审考虑了体系变更需求，评审了方针有效、适宜和充分。制定了改进措施，体系运行基本有效。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 xml:space="preserve">5.  EMS是否按规定对主要污染物（废气、天然气泄漏、噪声、火灾、废水、固废和危废等）及排放实施了例行的监视或测量，结果是否满足相关要求？ </w:t>
            </w: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该公司主要污染物是噪声排放、废气排放、废水排放、固废排放、水电及原材料消耗、火灾爆炸等，公司定期对防止火灾的灭火器和消防栓等设施协同物业检查有效性及噪声、废气排放、废水及原材料消耗、火灾爆炸等运行实施检查，噪声、废气、废水进行监测，结果达标，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 xml:space="preserve">国家/地方环保部门监测结果、新改扩建项目符合环评报告、三同时验收报告要求情况及措施 </w:t>
            </w:r>
          </w:p>
          <w:p>
            <w:pPr>
              <w:spacing w:line="240" w:lineRule="exact"/>
              <w:rPr>
                <w:b/>
                <w:color w:val="000000" w:themeColor="text1"/>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lang w:val="en-US" w:eastAsia="zh-CN"/>
              </w:rPr>
              <w:t>对</w:t>
            </w:r>
            <w:r>
              <w:rPr>
                <w:b/>
                <w:color w:val="000000" w:themeColor="text1"/>
                <w:sz w:val="20"/>
              </w:rPr>
              <w:t xml:space="preserve"> </w:t>
            </w:r>
            <w:r>
              <w:rPr>
                <w:rFonts w:hint="eastAsia"/>
                <w:b/>
                <w:color w:val="000000" w:themeColor="text1"/>
                <w:sz w:val="20"/>
              </w:rPr>
              <w:t>噪声、废气、废水进行监测，结果达标.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color w:val="000000" w:themeColor="text1"/>
                <w:sz w:val="20"/>
              </w:rPr>
            </w:pPr>
            <w:r>
              <w:rPr>
                <w:rFonts w:hint="eastAsia"/>
                <w:b/>
                <w:color w:val="000000" w:themeColor="text1"/>
                <w:sz w:val="20"/>
              </w:rPr>
              <w:t>7. OHSMS是否按规定对职业健康安全项目进行定期测量，结果是否满足相关要求：</w:t>
            </w:r>
          </w:p>
          <w:p>
            <w:pPr>
              <w:spacing w:line="300" w:lineRule="exact"/>
              <w:rPr>
                <w:b/>
                <w:color w:val="000000" w:themeColor="text1"/>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公司定期对职业健康安全管理体系运行进行检查，结果基本满足相关要求。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8.OHSMS国家/地方职业健康安全部门监督检查情况及措施</w:t>
            </w:r>
          </w:p>
          <w:p>
            <w:pPr>
              <w:spacing w:line="240" w:lineRule="exact"/>
              <w:rPr>
                <w:b/>
                <w:color w:val="000000" w:themeColor="text1"/>
                <w:sz w:val="20"/>
              </w:rPr>
            </w:pPr>
          </w:p>
          <w:p>
            <w:pPr>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Borders>
              <w:bottom w:val="single" w:color="auto" w:sz="4" w:space="0"/>
            </w:tcBorders>
          </w:tcPr>
          <w:p>
            <w:pPr>
              <w:widowControl/>
              <w:spacing w:line="240" w:lineRule="exact"/>
              <w:rPr>
                <w:b/>
                <w:color w:val="000000" w:themeColor="text1"/>
                <w:sz w:val="20"/>
              </w:rPr>
            </w:pPr>
            <w:r>
              <w:rPr>
                <w:rFonts w:hint="eastAsia"/>
                <w:b/>
                <w:color w:val="000000" w:themeColor="text1"/>
                <w:sz w:val="20"/>
              </w:rPr>
              <w:t>9. 其他能够标明组织绩效、信誉的证据/信息：</w:t>
            </w:r>
          </w:p>
          <w:p>
            <w:pPr>
              <w:widowControl/>
              <w:spacing w:line="240" w:lineRule="exact"/>
              <w:rPr>
                <w:b/>
                <w:color w:val="000000" w:themeColor="text1"/>
                <w:sz w:val="20"/>
              </w:rPr>
            </w:pPr>
          </w:p>
          <w:p>
            <w:pPr>
              <w:widowControl/>
              <w:spacing w:line="240" w:lineRule="exact"/>
              <w:rPr>
                <w:b/>
                <w:color w:val="000000" w:themeColor="text1"/>
                <w:sz w:val="20"/>
              </w:rPr>
            </w:pPr>
            <w:r>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自上次外审至今无</w:t>
            </w:r>
            <w:r>
              <w:rPr>
                <w:rFonts w:hint="eastAsia" w:ascii="宋体" w:hAnsi="宋体"/>
                <w:b/>
                <w:sz w:val="21"/>
                <w:szCs w:val="21"/>
                <w:lang w:val="en-US" w:eastAsia="zh-CN"/>
              </w:rPr>
              <w:t>重大</w:t>
            </w:r>
            <w:r>
              <w:rPr>
                <w:rFonts w:hint="eastAsia" w:ascii="宋体" w:hAnsi="宋体"/>
                <w:b/>
                <w:sz w:val="21"/>
                <w:szCs w:val="21"/>
              </w:rPr>
              <w:t>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hint="default" w:ascii="宋体" w:hAnsi="宋体" w:eastAsia="宋体"/>
                <w:b/>
                <w:sz w:val="21"/>
                <w:szCs w:val="21"/>
                <w:lang w:val="en-US" w:eastAsia="zh-CN"/>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整改</w:t>
            </w:r>
            <w:r>
              <w:rPr>
                <w:rFonts w:hint="eastAsia" w:ascii="宋体" w:hAnsi="宋体"/>
                <w:b/>
                <w:sz w:val="21"/>
                <w:szCs w:val="21"/>
                <w:lang w:val="en-US" w:eastAsia="zh-CN"/>
              </w:rPr>
              <w:t>基本</w:t>
            </w:r>
            <w:r>
              <w:rPr>
                <w:rFonts w:hint="eastAsia" w:ascii="宋体" w:hAnsi="宋体"/>
                <w:b/>
                <w:sz w:val="21"/>
                <w:szCs w:val="21"/>
              </w:rPr>
              <w:t>有效</w:t>
            </w:r>
            <w:r>
              <w:rPr>
                <w:rFonts w:hint="eastAsia" w:ascii="宋体" w:hAnsi="宋体"/>
                <w:b/>
                <w:sz w:val="21"/>
                <w:szCs w:val="21"/>
                <w:lang w:eastAsia="zh-CN"/>
              </w:rPr>
              <w:t>，</w:t>
            </w:r>
            <w:r>
              <w:rPr>
                <w:rFonts w:hint="eastAsia" w:ascii="宋体" w:hAnsi="宋体"/>
                <w:b/>
                <w:sz w:val="21"/>
                <w:szCs w:val="21"/>
                <w:lang w:val="en-US" w:eastAsia="zh-CN"/>
              </w:rPr>
              <w:t>现场补充审核时再确认</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本次审核共开具不符合项报告1项；其中</w:t>
      </w:r>
      <w:r>
        <w:rPr>
          <w:rFonts w:ascii="宋体" w:hAnsi="宋体"/>
          <w:b/>
          <w:szCs w:val="21"/>
        </w:rPr>
        <w:pict>
          <v:line id="直接连接符 1" o:spid="_x0000_s2053"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ascii="宋体" w:hAnsi="宋体"/>
          <w:b/>
          <w:szCs w:val="21"/>
        </w:rPr>
        <w:t>严重不符合项，一般不符合1项，观察项2项分布在安全环保部部门</w:t>
      </w:r>
      <w:r>
        <w:rPr>
          <w:rFonts w:ascii="宋体" w:hAnsi="宋体"/>
          <w:b/>
          <w:szCs w:val="21"/>
        </w:rPr>
        <w:t>EO</w:t>
      </w:r>
      <w:r>
        <w:rPr>
          <w:rFonts w:hint="eastAsia" w:ascii="宋体" w:hAnsi="宋体"/>
          <w:b/>
          <w:szCs w:val="21"/>
          <w:lang w:val="en-US" w:eastAsia="zh-CN"/>
        </w:rPr>
        <w:t>8.2</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r>
              <w:rPr>
                <w:rFonts w:hint="eastAsia" w:ascii="宋体" w:hAnsi="宋体"/>
                <w:b/>
                <w:szCs w:val="21"/>
              </w:rPr>
              <w:t xml:space="preserve"> </w:t>
            </w:r>
            <w:r>
              <w:rPr>
                <w:rFonts w:ascii="宋体" w:hAnsi="宋体"/>
                <w:b/>
                <w:szCs w:val="21"/>
              </w:rPr>
              <w:t xml:space="preserve"> </w:t>
            </w:r>
            <w:r>
              <w:rPr>
                <w:rFonts w:hint="eastAsia" w:ascii="宋体" w:hAnsi="宋体"/>
                <w:b/>
                <w:szCs w:val="21"/>
              </w:rPr>
              <w:t>该公司建立并实施的环境、职业健康安全管理体系基本符合标准要求，对可能存在的重要风险基本可以得到有效控制，在本年度内没有出现过环境和职业健康安全事故以及顾客投诉等事件，该公司初步建立了自我完善和自我改进机制，环境和职业健康安全管理体系运行基本有效。</w:t>
            </w:r>
          </w:p>
          <w:p>
            <w:pPr>
              <w:spacing w:line="280" w:lineRule="exact"/>
              <w:ind w:firstLine="482" w:firstLineChars="200"/>
              <w:rPr>
                <w:rFonts w:ascii="宋体" w:hAnsi="宋体"/>
                <w:b/>
                <w:szCs w:val="21"/>
              </w:rPr>
            </w:pPr>
            <w:r>
              <w:rPr>
                <w:rFonts w:hint="eastAsia" w:ascii="宋体" w:hAnsi="宋体"/>
                <w:b/>
                <w:szCs w:val="21"/>
              </w:rPr>
              <w:t>现场开具的1项一般不符合在规定的期限内采取纠正措施并经审核组书面验证有效，同意推荐该公司环境、职业健康安全管理体系保持认证注册。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pStyle w:val="2"/>
        <w:rPr>
          <w:b/>
          <w:sz w:val="21"/>
          <w:szCs w:val="21"/>
        </w:rPr>
      </w:pPr>
    </w:p>
    <w:p>
      <w:pPr>
        <w:pStyle w:val="2"/>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1" w:leftChars="-405" w:hanging="851" w:hangingChars="326"/>
        <w:rPr>
          <w:rFonts w:hint="eastAsia" w:eastAsia="宋体"/>
          <w:b/>
          <w:color w:val="auto"/>
          <w:sz w:val="28"/>
          <w:szCs w:val="28"/>
          <w:lang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ascii="仿宋" w:hAnsi="仿宋" w:eastAsia="仿宋" w:cstheme="minorBidi"/>
          <w:color w:val="000000" w:themeColor="text1"/>
          <w:kern w:val="24"/>
          <w:sz w:val="28"/>
          <w:szCs w:val="28"/>
          <w:lang w:eastAsia="zh-CN"/>
        </w:rPr>
        <w:t>本次审核为远程审核，</w:t>
      </w:r>
      <w:r>
        <w:rPr>
          <w:rFonts w:hint="eastAsia" w:ascii="仿宋" w:hAnsi="仿宋" w:eastAsia="仿宋" w:cstheme="minorBidi"/>
          <w:color w:val="auto"/>
          <w:kern w:val="24"/>
          <w:sz w:val="28"/>
          <w:szCs w:val="28"/>
          <w:lang w:eastAsia="zh-CN"/>
        </w:rPr>
        <w:t>后续安排现场</w:t>
      </w:r>
      <w:r>
        <w:rPr>
          <w:rFonts w:hint="eastAsia" w:ascii="仿宋" w:hAnsi="仿宋" w:eastAsia="仿宋" w:cstheme="minorBidi"/>
          <w:color w:val="auto"/>
          <w:kern w:val="24"/>
          <w:sz w:val="28"/>
          <w:szCs w:val="28"/>
          <w:lang w:val="en-US" w:eastAsia="zh-CN"/>
        </w:rPr>
        <w:t>补充</w:t>
      </w:r>
      <w:r>
        <w:rPr>
          <w:rFonts w:hint="eastAsia" w:ascii="仿宋" w:hAnsi="仿宋" w:eastAsia="仿宋" w:cstheme="minorBidi"/>
          <w:color w:val="auto"/>
          <w:kern w:val="24"/>
          <w:sz w:val="28"/>
          <w:szCs w:val="28"/>
          <w:lang w:eastAsia="zh-CN"/>
        </w:rPr>
        <w:t>审核核验。</w:t>
      </w:r>
      <w:r>
        <w:rPr>
          <w:rFonts w:hint="eastAsia" w:ascii="Times New Roman" w:hAnsi="Times New Roman" w:eastAsia="宋体" w:cs="Times New Roman"/>
          <w:b/>
          <w:color w:val="auto"/>
          <w:sz w:val="28"/>
          <w:szCs w:val="28"/>
        </w:rPr>
        <w:t>现场验证远程审核的有效性</w:t>
      </w:r>
      <w:r>
        <w:rPr>
          <w:rFonts w:hint="eastAsia" w:ascii="Times New Roman" w:hAnsi="Times New Roman" w:eastAsia="宋体" w:cs="Times New Roman"/>
          <w:b/>
          <w:color w:val="auto"/>
          <w:sz w:val="28"/>
          <w:szCs w:val="28"/>
          <w:lang w:val="en-US" w:eastAsia="zh-CN"/>
        </w:rPr>
        <w:t>及</w:t>
      </w:r>
      <w:r>
        <w:rPr>
          <w:rFonts w:hint="eastAsia" w:ascii="Times New Roman" w:hAnsi="Times New Roman" w:eastAsia="宋体" w:cs="Times New Roman"/>
          <w:b/>
          <w:color w:val="auto"/>
          <w:sz w:val="28"/>
          <w:szCs w:val="28"/>
        </w:rPr>
        <w:t>提供的相关证实</w:t>
      </w:r>
      <w:r>
        <w:rPr>
          <w:rFonts w:hint="eastAsia" w:ascii="Times New Roman" w:hAnsi="Times New Roman" w:eastAsia="宋体" w:cs="Times New Roman"/>
          <w:b/>
          <w:color w:val="auto"/>
          <w:sz w:val="28"/>
          <w:szCs w:val="28"/>
          <w:lang w:val="en-US" w:eastAsia="zh-CN"/>
        </w:rPr>
        <w:t>的</w:t>
      </w:r>
      <w:r>
        <w:rPr>
          <w:rFonts w:hint="eastAsia" w:ascii="Times New Roman" w:hAnsi="Times New Roman" w:eastAsia="宋体" w:cs="Times New Roman"/>
          <w:b/>
          <w:color w:val="auto"/>
          <w:sz w:val="28"/>
          <w:szCs w:val="28"/>
        </w:rPr>
        <w:t>有效</w:t>
      </w:r>
      <w:r>
        <w:rPr>
          <w:rFonts w:hint="eastAsia" w:ascii="Times New Roman" w:hAnsi="Times New Roman" w:eastAsia="宋体" w:cs="Times New Roman"/>
          <w:b/>
          <w:color w:val="auto"/>
          <w:sz w:val="28"/>
          <w:szCs w:val="28"/>
          <w:lang w:val="en-US" w:eastAsia="zh-CN"/>
        </w:rPr>
        <w:t>性</w:t>
      </w:r>
      <w:r>
        <w:rPr>
          <w:rFonts w:hint="eastAsia" w:ascii="Times New Roman" w:hAnsi="Times New Roman" w:eastAsia="宋体" w:cs="Times New Roman"/>
          <w:b/>
          <w:color w:val="auto"/>
          <w:sz w:val="28"/>
          <w:szCs w:val="28"/>
        </w:rPr>
        <w:t>。</w:t>
      </w:r>
    </w:p>
    <w:p>
      <w:pPr>
        <w:spacing w:before="163" w:beforeLines="50" w:after="163" w:afterLines="50"/>
        <w:ind w:left="-122" w:leftChars="-51" w:firstLine="120" w:firstLineChars="46"/>
        <w:rPr>
          <w:b/>
          <w:color w:val="FF0000"/>
          <w:sz w:val="26"/>
          <w:szCs w:val="26"/>
        </w:rPr>
      </w:pPr>
    </w:p>
    <w:p>
      <w:pPr>
        <w:snapToGrid w:val="0"/>
        <w:spacing w:line="360" w:lineRule="exact"/>
        <w:rPr>
          <w:b/>
          <w:bCs/>
          <w:sz w:val="21"/>
          <w:szCs w:val="28"/>
        </w:rPr>
      </w:pPr>
    </w:p>
    <w:p>
      <w:pPr>
        <w:tabs>
          <w:tab w:val="left" w:pos="645"/>
        </w:tabs>
        <w:spacing w:after="163" w:afterLines="50" w:line="360" w:lineRule="exact"/>
        <w:rPr>
          <w:b/>
          <w:sz w:val="16"/>
          <w:szCs w:val="16"/>
        </w:rPr>
      </w:pPr>
      <w:r>
        <w:rPr>
          <w:sz w:val="21"/>
          <w:szCs w:val="21"/>
        </w:rPr>
        <w:drawing>
          <wp:anchor distT="0" distB="0" distL="114300" distR="114300" simplePos="0" relativeHeight="251666432" behindDoc="0" locked="0" layoutInCell="1" allowOverlap="1">
            <wp:simplePos x="0" y="0"/>
            <wp:positionH relativeFrom="column">
              <wp:posOffset>1920240</wp:posOffset>
            </wp:positionH>
            <wp:positionV relativeFrom="paragraph">
              <wp:posOffset>227965</wp:posOffset>
            </wp:positionV>
            <wp:extent cx="551815" cy="293370"/>
            <wp:effectExtent l="0" t="0" r="635" b="11430"/>
            <wp:wrapNone/>
            <wp:docPr id="2"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新文档 2019-04-09 16.49.33"/>
                    <pic:cNvPicPr>
                      <a:picLocks noChangeAspect="1"/>
                    </pic:cNvPicPr>
                  </pic:nvPicPr>
                  <pic:blipFill>
                    <a:blip r:embed="rId6"/>
                    <a:stretch>
                      <a:fillRect/>
                    </a:stretch>
                  </pic:blipFill>
                  <pic:spPr>
                    <a:xfrm>
                      <a:off x="0" y="0"/>
                      <a:ext cx="551815" cy="29337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2021.1.12</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b/>
          <w:sz w:val="21"/>
          <w:szCs w:val="21"/>
        </w:rPr>
        <w:t>■</w:t>
      </w:r>
      <w:r>
        <w:rPr>
          <w:b/>
          <w:sz w:val="21"/>
          <w:szCs w:val="21"/>
        </w:rPr>
        <w:t>EMS (1)</w:t>
      </w:r>
      <w:r>
        <w:rPr>
          <w:rFonts w:hint="eastAsia"/>
          <w:b/>
          <w:sz w:val="21"/>
          <w:szCs w:val="21"/>
        </w:rPr>
        <w:t>个一般不符合，</w:t>
      </w:r>
      <w:r>
        <w:rPr>
          <w:b/>
          <w:sz w:val="21"/>
          <w:szCs w:val="21"/>
        </w:rPr>
        <w:t>( )</w:t>
      </w:r>
      <w:r>
        <w:rPr>
          <w:rFonts w:hint="eastAsia"/>
          <w:b/>
          <w:sz w:val="21"/>
          <w:szCs w:val="21"/>
        </w:rPr>
        <w:t>个严重不符合，</w:t>
      </w:r>
      <w:r>
        <w:rPr>
          <w:rFonts w:hint="eastAsia" w:ascii="宋体" w:hAnsi="宋体"/>
          <w:b/>
          <w:sz w:val="21"/>
          <w:szCs w:val="21"/>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b/>
          <w:sz w:val="21"/>
          <w:szCs w:val="21"/>
        </w:rPr>
        <w:t>■</w:t>
      </w:r>
      <w:r>
        <w:rPr>
          <w:b/>
          <w:sz w:val="21"/>
          <w:szCs w:val="21"/>
        </w:rPr>
        <w:t>OHSMS ( 1 )</w:t>
      </w:r>
      <w:r>
        <w:rPr>
          <w:rFonts w:hint="eastAsia"/>
          <w:b/>
          <w:sz w:val="21"/>
          <w:szCs w:val="21"/>
        </w:rPr>
        <w:t>个一般不符合，</w:t>
      </w:r>
      <w:r>
        <w:rPr>
          <w:b/>
          <w:sz w:val="21"/>
          <w:szCs w:val="21"/>
        </w:rPr>
        <w:t>(    )</w:t>
      </w:r>
      <w:r>
        <w:rPr>
          <w:rFonts w:hint="eastAsia"/>
          <w:b/>
          <w:sz w:val="21"/>
          <w:szCs w:val="21"/>
        </w:rPr>
        <w:t>个严重不符合，</w:t>
      </w:r>
      <w:r>
        <w:rPr>
          <w:rFonts w:hint="eastAsia" w:ascii="宋体" w:hAnsi="宋体"/>
          <w:b/>
          <w:sz w:val="21"/>
          <w:szCs w:val="21"/>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ascii="宋体" w:hAnsi="宋体"/>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0" w:firstLineChars="343"/>
        <w:rPr>
          <w:b/>
          <w:sz w:val="21"/>
          <w:szCs w:val="21"/>
          <w:u w:val="single"/>
        </w:rPr>
      </w:pPr>
      <w:r>
        <w:rPr>
          <w:sz w:val="21"/>
          <w:szCs w:val="21"/>
        </w:rPr>
        <w:drawing>
          <wp:anchor distT="0" distB="0" distL="114300" distR="114300" simplePos="0" relativeHeight="251664384" behindDoc="0" locked="0" layoutInCell="1" allowOverlap="1">
            <wp:simplePos x="0" y="0"/>
            <wp:positionH relativeFrom="column">
              <wp:posOffset>1191895</wp:posOffset>
            </wp:positionH>
            <wp:positionV relativeFrom="paragraph">
              <wp:posOffset>27305</wp:posOffset>
            </wp:positionV>
            <wp:extent cx="551815" cy="293370"/>
            <wp:effectExtent l="0" t="0" r="635" b="11430"/>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新文档 2019-04-09 16.49.33"/>
                    <pic:cNvPicPr>
                      <a:picLocks noChangeAspect="1"/>
                    </pic:cNvPicPr>
                  </pic:nvPicPr>
                  <pic:blipFill>
                    <a:blip r:embed="rId6"/>
                    <a:stretch>
                      <a:fillRect/>
                    </a:stretch>
                  </pic:blipFill>
                  <pic:spPr>
                    <a:xfrm>
                      <a:off x="0" y="0"/>
                      <a:ext cx="551815" cy="293370"/>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 xml:space="preserve">认证评定负责人： </w:t>
      </w:r>
      <w:r>
        <w:rPr>
          <w:b/>
          <w:szCs w:val="24"/>
        </w:rPr>
        <w:t xml:space="preserve">        </w:t>
      </w:r>
      <w:r>
        <w:rPr>
          <w:rFonts w:hint="eastAsia"/>
          <w:b/>
          <w:szCs w:val="24"/>
        </w:rPr>
        <w:t xml:space="preserve">日期： </w:t>
      </w:r>
      <w:r>
        <w:rPr>
          <w:b/>
          <w:szCs w:val="24"/>
        </w:rPr>
        <w:t xml:space="preserve">  </w:t>
      </w:r>
      <w:r>
        <w:rPr>
          <w:rFonts w:hint="eastAsia"/>
          <w:b/>
          <w:szCs w:val="24"/>
        </w:rPr>
        <w:t xml:space="preserve">年 </w:t>
      </w:r>
      <w:r>
        <w:rPr>
          <w:b/>
          <w:szCs w:val="24"/>
        </w:rPr>
        <w:t xml:space="preserve">  </w:t>
      </w:r>
      <w:r>
        <w:rPr>
          <w:rFonts w:hint="eastAsia"/>
          <w:b/>
          <w:szCs w:val="24"/>
        </w:rPr>
        <w:t xml:space="preserve">月 </w:t>
      </w:r>
      <w:r>
        <w:rPr>
          <w:b/>
          <w:szCs w:val="24"/>
        </w:rPr>
        <w:t xml:space="preserve">  </w:t>
      </w:r>
      <w:r>
        <w:rPr>
          <w:rFonts w:hint="eastAsia"/>
          <w:b/>
          <w:szCs w:val="24"/>
        </w:rPr>
        <w:t>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 xml:space="preserve">批准人（总经理）： </w:t>
      </w:r>
      <w:r>
        <w:rPr>
          <w:b/>
          <w:szCs w:val="24"/>
        </w:rPr>
        <w:t xml:space="preserve">      </w:t>
      </w:r>
      <w:r>
        <w:rPr>
          <w:rFonts w:hint="eastAsia"/>
          <w:b/>
          <w:szCs w:val="24"/>
        </w:rPr>
        <w:t xml:space="preserve">日期： </w:t>
      </w:r>
      <w:r>
        <w:rPr>
          <w:b/>
          <w:szCs w:val="24"/>
        </w:rPr>
        <w:t xml:space="preserve">  </w:t>
      </w:r>
      <w:r>
        <w:rPr>
          <w:rFonts w:hint="eastAsia"/>
          <w:b/>
          <w:szCs w:val="24"/>
        </w:rPr>
        <w:t xml:space="preserve">年 </w:t>
      </w:r>
      <w:r>
        <w:rPr>
          <w:b/>
          <w:szCs w:val="24"/>
        </w:rPr>
        <w:t xml:space="preserve">  </w:t>
      </w:r>
      <w:r>
        <w:rPr>
          <w:rFonts w:hint="eastAsia"/>
          <w:b/>
          <w:szCs w:val="24"/>
        </w:rPr>
        <w:t xml:space="preserve">月 </w:t>
      </w:r>
      <w:r>
        <w:rPr>
          <w:b/>
          <w:szCs w:val="24"/>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5C0735"/>
    <w:rsid w:val="48CA3AA9"/>
    <w:rsid w:val="6AED45B3"/>
    <w:rsid w:val="71851C9F"/>
    <w:rsid w:val="72964A21"/>
    <w:rsid w:val="758A17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8</TotalTime>
  <ScaleCrop>false</ScaleCrop>
  <LinksUpToDate>false</LinksUpToDate>
  <CharactersWithSpaces>4386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李凤仪</cp:lastModifiedBy>
  <cp:lastPrinted>2019-04-18T08:15:00Z</cp:lastPrinted>
  <dcterms:modified xsi:type="dcterms:W3CDTF">2021-01-28T10:27:26Z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