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甘肃陇晟恒再生资源有限公司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A3"/>
            </w:r>
            <w:r>
              <w:rPr>
                <w:rFonts w:hint="eastAsia"/>
                <w:sz w:val="22"/>
                <w:szCs w:val="22"/>
              </w:rPr>
              <w:t>GB/T50430-2017</w:t>
            </w:r>
            <w:r>
              <w:rPr>
                <w:rFonts w:hint="eastAsia"/>
                <w:sz w:val="22"/>
                <w:szCs w:val="22"/>
              </w:rPr>
              <w:sym w:font="Wingdings 2" w:char="0052"/>
            </w:r>
            <w:r>
              <w:rPr>
                <w:rFonts w:hint="eastAsia"/>
                <w:sz w:val="22"/>
                <w:szCs w:val="22"/>
              </w:rPr>
              <w:t>GB/T24001-2016</w:t>
            </w:r>
            <w:r>
              <w:rPr>
                <w:rFonts w:hint="eastAsia"/>
                <w:sz w:val="22"/>
                <w:szCs w:val="22"/>
              </w:rPr>
              <w:sym w:font="Wingdings 2" w:char="00A3"/>
            </w:r>
            <w:r>
              <w:rPr>
                <w:rFonts w:hint="eastAsia"/>
                <w:sz w:val="22"/>
                <w:szCs w:val="22"/>
              </w:rPr>
              <w:t>GB/T28001-2011</w:t>
            </w:r>
            <w:r>
              <w:rPr>
                <w:rFonts w:hint="eastAsia"/>
                <w:sz w:val="22"/>
                <w:szCs w:val="22"/>
              </w:rPr>
              <w:sym w:font="Wingdings 2" w:char="0052"/>
            </w:r>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0026-2019-QEO-2020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
            <w:r>
              <w:rPr>
                <w:rFonts w:hint="eastAsia"/>
                <w:sz w:val="18"/>
                <w:szCs w:val="18"/>
              </w:rPr>
              <w:t>Q:监查2,E:监查2,O:监查2</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付红卫</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甘肃酒钢集团宏兴钢铁股份有限公司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w:t>
            </w:r>
            <w:r>
              <w:rPr>
                <w:sz w:val="20"/>
              </w:rPr>
              <w:t>0</w:t>
            </w:r>
            <w:r>
              <w:rPr>
                <w:rFonts w:hint="eastAsia"/>
                <w:sz w:val="20"/>
                <w:lang w:val="en-US" w:eastAsia="zh-CN"/>
              </w:rPr>
              <w:t>21</w:t>
            </w:r>
            <w:r>
              <w:rPr>
                <w:sz w:val="20"/>
              </w:rPr>
              <w:t>.1.</w:t>
            </w:r>
            <w:r>
              <w:rPr>
                <w:rFonts w:hint="eastAsia"/>
                <w:sz w:val="20"/>
                <w:lang w:val="en-US" w:eastAsia="zh-CN"/>
              </w:rPr>
              <w:t>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w:t>
            </w:r>
            <w:r>
              <w:rPr>
                <w:sz w:val="20"/>
              </w:rPr>
              <w:t>0</w:t>
            </w:r>
            <w:r>
              <w:rPr>
                <w:rFonts w:hint="eastAsia"/>
                <w:sz w:val="20"/>
                <w:lang w:val="en-US" w:eastAsia="zh-CN"/>
              </w:rPr>
              <w:t>21</w:t>
            </w:r>
            <w:r>
              <w:rPr>
                <w:sz w:val="20"/>
              </w:rPr>
              <w:t>.1.</w:t>
            </w:r>
            <w:r>
              <w:rPr>
                <w:rFonts w:hint="eastAsia"/>
                <w:sz w:val="20"/>
                <w:lang w:val="en-US" w:eastAsia="zh-CN"/>
              </w:rPr>
              <w:t>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szCs w:val="21"/>
              </w:rPr>
              <w:t>■</w:t>
            </w:r>
            <w:r>
              <w:rPr>
                <w:rFonts w:hint="eastAsia"/>
                <w:b/>
                <w:sz w:val="22"/>
                <w:szCs w:val="22"/>
              </w:rPr>
              <w:t>满意（优）</w:t>
            </w:r>
          </w:p>
          <w:p>
            <w:pPr>
              <w:spacing w:line="276" w:lineRule="auto"/>
              <w:ind w:firstLine="990" w:firstLineChars="450"/>
              <w:rPr>
                <w:sz w:val="16"/>
                <w:szCs w:val="16"/>
              </w:rPr>
            </w:pPr>
            <w:bookmarkStart w:id="3" w:name="_GoBack"/>
            <w:bookmarkEnd w:id="3"/>
            <w:r>
              <w:rPr>
                <w:rFonts w:hint="eastAsia" w:ascii="宋体" w:hAnsi="宋体"/>
                <w:sz w:val="22"/>
                <w:szCs w:val="22"/>
              </w:rPr>
              <w:sym w:font="Wingdings 2" w:char="00A3"/>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590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2021-01-07T16:04:10Z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