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9" o:spt="75" type="#_x0000_t75" style="position:absolute;left:0pt;margin-left:169.75pt;margin-top:-36.8pt;height:117.35pt;width:135.75pt;mso-wrap-distance-left:9pt;mso-wrap-distance-right:9pt;z-index:-251660288;mso-width-relative:page;mso-height-relative:page;" filled="f" o:preferrelative="t" stroked="f" coordsize="21600,21600"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受审核方：甘肃陇晟恒再生资源有限公司</w:t>
      </w:r>
    </w:p>
    <w:p>
      <w:pPr>
        <w:snapToGrid w:val="0"/>
        <w:spacing w:after="97" w:afterLines="30"/>
        <w:rPr>
          <w:rFonts w:ascii="楷体" w:hAnsi="楷体" w:eastAsia="楷体"/>
          <w:b/>
          <w:color w:val="000000"/>
          <w:sz w:val="32"/>
          <w:szCs w:val="32"/>
        </w:rPr>
      </w:pPr>
    </w:p>
    <w:p>
      <w:pPr>
        <w:snapToGrid w:val="0"/>
        <w:spacing w:after="97"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7"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7"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after="97"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7"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2181"/>
        <w:gridCol w:w="511"/>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2181" w:type="dxa"/>
            <w:vAlign w:val="center"/>
          </w:tcPr>
          <w:p>
            <w:pPr>
              <w:jc w:val="center"/>
              <w:rPr>
                <w:b/>
                <w:sz w:val="21"/>
                <w:szCs w:val="21"/>
              </w:rPr>
            </w:pPr>
            <w:r>
              <w:rPr>
                <w:rFonts w:hint="eastAsia"/>
                <w:b/>
                <w:sz w:val="21"/>
                <w:szCs w:val="21"/>
              </w:rPr>
              <w:t>审核员注册号</w:t>
            </w:r>
          </w:p>
        </w:tc>
        <w:tc>
          <w:tcPr>
            <w:tcW w:w="1246"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李凤仪</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181" w:type="dxa"/>
            <w:vAlign w:val="center"/>
          </w:tcPr>
          <w:p>
            <w:pPr>
              <w:jc w:val="center"/>
              <w:rPr>
                <w:b/>
                <w:sz w:val="21"/>
                <w:szCs w:val="21"/>
              </w:rPr>
            </w:pPr>
            <w:r>
              <w:rPr>
                <w:b/>
                <w:sz w:val="21"/>
                <w:szCs w:val="21"/>
              </w:rPr>
              <w:t>2019-N1QMS-3031946</w:t>
            </w:r>
          </w:p>
          <w:p>
            <w:pPr>
              <w:jc w:val="center"/>
              <w:rPr>
                <w:b/>
                <w:sz w:val="21"/>
                <w:szCs w:val="21"/>
              </w:rPr>
            </w:pPr>
            <w:r>
              <w:rPr>
                <w:b/>
                <w:sz w:val="21"/>
                <w:szCs w:val="21"/>
              </w:rPr>
              <w:t>2018-N1EMS-2031946</w:t>
            </w:r>
          </w:p>
          <w:p>
            <w:pPr>
              <w:jc w:val="center"/>
              <w:rPr>
                <w:b/>
                <w:sz w:val="21"/>
                <w:szCs w:val="21"/>
              </w:rPr>
            </w:pPr>
            <w:r>
              <w:rPr>
                <w:b/>
                <w:sz w:val="21"/>
                <w:szCs w:val="21"/>
              </w:rPr>
              <w:t>2019-N1OHSMS-2031946</w:t>
            </w:r>
          </w:p>
        </w:tc>
        <w:tc>
          <w:tcPr>
            <w:tcW w:w="1246"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安涛</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tc>
        <w:tc>
          <w:tcPr>
            <w:tcW w:w="2181" w:type="dxa"/>
            <w:vAlign w:val="center"/>
          </w:tcPr>
          <w:p>
            <w:pPr>
              <w:jc w:val="center"/>
              <w:rPr>
                <w:b/>
                <w:sz w:val="21"/>
                <w:szCs w:val="21"/>
              </w:rPr>
            </w:pPr>
            <w:r>
              <w:rPr>
                <w:b/>
                <w:sz w:val="21"/>
                <w:szCs w:val="21"/>
              </w:rPr>
              <w:t>2020-N1QMS-2211720</w:t>
            </w:r>
          </w:p>
        </w:tc>
        <w:tc>
          <w:tcPr>
            <w:tcW w:w="1246"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ISC-211720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vAlign w:val="center"/>
          </w:tcPr>
          <w:p>
            <w:pPr>
              <w:jc w:val="center"/>
              <w:rPr>
                <w:b/>
                <w:sz w:val="21"/>
                <w:szCs w:val="21"/>
              </w:rPr>
            </w:pPr>
            <w:r>
              <w:rPr>
                <w:b/>
                <w:sz w:val="21"/>
                <w:szCs w:val="21"/>
              </w:rPr>
              <w:t>付红卫</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Q:专家</w:t>
            </w:r>
          </w:p>
          <w:p>
            <w:pPr>
              <w:jc w:val="center"/>
              <w:rPr>
                <w:b/>
                <w:sz w:val="21"/>
                <w:szCs w:val="21"/>
              </w:rPr>
            </w:pPr>
            <w:r>
              <w:rPr>
                <w:b/>
                <w:sz w:val="21"/>
                <w:szCs w:val="21"/>
              </w:rPr>
              <w:t>E:专家</w:t>
            </w:r>
          </w:p>
          <w:p>
            <w:pPr>
              <w:jc w:val="center"/>
              <w:rPr>
                <w:b/>
                <w:sz w:val="21"/>
                <w:szCs w:val="21"/>
              </w:rPr>
            </w:pPr>
            <w:r>
              <w:rPr>
                <w:b/>
                <w:sz w:val="21"/>
                <w:szCs w:val="21"/>
              </w:rPr>
              <w:t>O:专家</w:t>
            </w:r>
          </w:p>
          <w:p>
            <w:pPr>
              <w:jc w:val="center"/>
              <w:rPr>
                <w:b/>
                <w:sz w:val="21"/>
                <w:szCs w:val="21"/>
              </w:rPr>
            </w:pPr>
            <w:r>
              <w:rPr>
                <w:b/>
                <w:sz w:val="21"/>
                <w:szCs w:val="21"/>
              </w:rPr>
              <w:t>高级工程师</w:t>
            </w:r>
          </w:p>
        </w:tc>
        <w:tc>
          <w:tcPr>
            <w:tcW w:w="2181" w:type="dxa"/>
            <w:vAlign w:val="center"/>
          </w:tcPr>
          <w:p>
            <w:pPr>
              <w:jc w:val="center"/>
              <w:rPr>
                <w:b/>
                <w:sz w:val="21"/>
                <w:szCs w:val="21"/>
              </w:rPr>
            </w:pPr>
            <w:r>
              <w:rPr>
                <w:b/>
                <w:sz w:val="21"/>
                <w:szCs w:val="21"/>
              </w:rPr>
              <w:t>甘肃酒钢集团宏兴钢铁股份有限公司</w:t>
            </w:r>
          </w:p>
        </w:tc>
        <w:tc>
          <w:tcPr>
            <w:tcW w:w="1246" w:type="dxa"/>
            <w:gridSpan w:val="2"/>
            <w:vAlign w:val="center"/>
          </w:tcPr>
          <w:p>
            <w:pPr>
              <w:jc w:val="center"/>
              <w:rPr>
                <w:b/>
                <w:sz w:val="21"/>
                <w:szCs w:val="21"/>
              </w:rPr>
            </w:pPr>
            <w:r>
              <w:rPr>
                <w:b/>
                <w:sz w:val="21"/>
                <w:szCs w:val="21"/>
              </w:rPr>
              <w:t>Q:24.01.02,29.11.07</w:t>
            </w:r>
          </w:p>
          <w:p>
            <w:pPr>
              <w:jc w:val="center"/>
              <w:rPr>
                <w:b/>
                <w:sz w:val="21"/>
                <w:szCs w:val="21"/>
              </w:rPr>
            </w:pPr>
            <w:r>
              <w:rPr>
                <w:b/>
                <w:sz w:val="21"/>
                <w:szCs w:val="21"/>
              </w:rPr>
              <w:t>E:24.01.02,29.11.07</w:t>
            </w:r>
          </w:p>
          <w:p>
            <w:pPr>
              <w:jc w:val="center"/>
              <w:rPr>
                <w:b/>
                <w:sz w:val="21"/>
                <w:szCs w:val="21"/>
              </w:rPr>
            </w:pPr>
            <w:r>
              <w:rPr>
                <w:b/>
                <w:sz w:val="21"/>
                <w:szCs w:val="21"/>
              </w:rPr>
              <w:t>O:24.01.02,29.11.07</w:t>
            </w:r>
          </w:p>
        </w:tc>
        <w:tc>
          <w:tcPr>
            <w:tcW w:w="1729" w:type="dxa"/>
            <w:gridSpan w:val="2"/>
            <w:vAlign w:val="center"/>
          </w:tcPr>
          <w:p>
            <w:pPr>
              <w:jc w:val="center"/>
              <w:rPr>
                <w:b/>
                <w:sz w:val="21"/>
                <w:szCs w:val="21"/>
              </w:rPr>
            </w:pPr>
            <w:r>
              <w:rPr>
                <w:b/>
                <w:sz w:val="21"/>
                <w:szCs w:val="21"/>
              </w:rPr>
              <w:t>ISC-JSZJ-061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181" w:type="dxa"/>
          </w:tcPr>
          <w:p>
            <w:pPr>
              <w:rPr>
                <w:b/>
                <w:sz w:val="21"/>
                <w:szCs w:val="21"/>
              </w:rPr>
            </w:pPr>
          </w:p>
        </w:tc>
        <w:tc>
          <w:tcPr>
            <w:tcW w:w="1246"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181" w:type="dxa"/>
          </w:tcPr>
          <w:p>
            <w:pPr>
              <w:rPr>
                <w:b/>
                <w:sz w:val="21"/>
                <w:szCs w:val="21"/>
              </w:rPr>
            </w:pPr>
          </w:p>
        </w:tc>
        <w:tc>
          <w:tcPr>
            <w:tcW w:w="1246"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■保持认证注册资格：__________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2380"/>
        <w:gridCol w:w="960"/>
        <w:gridCol w:w="1515"/>
        <w:gridCol w:w="1350"/>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855" w:type="dxa"/>
            <w:gridSpan w:val="3"/>
          </w:tcPr>
          <w:p>
            <w:pPr>
              <w:spacing w:line="260" w:lineRule="exact"/>
              <w:rPr>
                <w:rFonts w:ascii="宋体"/>
                <w:b/>
                <w:color w:val="FF0000"/>
                <w:sz w:val="21"/>
              </w:rPr>
            </w:pPr>
            <w:bookmarkStart w:id="9" w:name="组织名称Add"/>
            <w:r>
              <w:rPr>
                <w:rFonts w:ascii="宋体"/>
                <w:b/>
                <w:sz w:val="21"/>
              </w:rPr>
              <w:t>甘肃陇晟恒再生资源有限公司</w:t>
            </w:r>
            <w:bookmarkEnd w:id="9"/>
          </w:p>
        </w:tc>
        <w:tc>
          <w:tcPr>
            <w:tcW w:w="1350"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383" w:type="dxa"/>
          </w:tcPr>
          <w:p>
            <w:pPr>
              <w:spacing w:line="260" w:lineRule="exact"/>
              <w:rPr>
                <w:rFonts w:ascii="宋体"/>
                <w:b/>
                <w:sz w:val="21"/>
              </w:rPr>
            </w:pPr>
            <w:r>
              <w:rPr>
                <w:rFonts w:hint="eastAsia" w:ascii="宋体"/>
                <w:b/>
                <w:sz w:val="21"/>
              </w:rPr>
              <w:t>2</w:t>
            </w:r>
            <w:r>
              <w:rPr>
                <w:rFonts w:ascii="宋体"/>
                <w:b/>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855" w:type="dxa"/>
            <w:gridSpan w:val="3"/>
          </w:tcPr>
          <w:p>
            <w:pPr>
              <w:rPr>
                <w:rFonts w:ascii="宋体"/>
                <w:b/>
                <w:sz w:val="21"/>
              </w:rPr>
            </w:pPr>
            <w:bookmarkStart w:id="10" w:name="注册地址"/>
            <w:r>
              <w:rPr>
                <w:rFonts w:ascii="宋体"/>
                <w:b/>
                <w:sz w:val="21"/>
              </w:rPr>
              <w:t>甘肃省嘉峪关市嘉北工业园区（甘肃新精诚实业发展有限公司库房）</w:t>
            </w:r>
            <w:bookmarkEnd w:id="10"/>
          </w:p>
        </w:tc>
        <w:tc>
          <w:tcPr>
            <w:tcW w:w="1350" w:type="dxa"/>
            <w:vMerge w:val="restart"/>
            <w:vAlign w:val="center"/>
          </w:tcPr>
          <w:p>
            <w:pPr>
              <w:jc w:val="center"/>
              <w:rPr>
                <w:rFonts w:ascii="宋体"/>
                <w:b/>
                <w:sz w:val="21"/>
              </w:rPr>
            </w:pPr>
            <w:r>
              <w:rPr>
                <w:rFonts w:hint="eastAsia" w:ascii="宋体" w:hAnsi="宋体"/>
                <w:b/>
                <w:sz w:val="21"/>
              </w:rPr>
              <w:t>邮编</w:t>
            </w:r>
          </w:p>
        </w:tc>
        <w:tc>
          <w:tcPr>
            <w:tcW w:w="1383" w:type="dxa"/>
          </w:tcPr>
          <w:p>
            <w:pPr>
              <w:rPr>
                <w:rFonts w:ascii="宋体"/>
                <w:b/>
                <w:sz w:val="21"/>
              </w:rPr>
            </w:pPr>
            <w:bookmarkStart w:id="11" w:name="注册邮编"/>
            <w:r>
              <w:rPr>
                <w:rFonts w:ascii="宋体"/>
                <w:b/>
                <w:sz w:val="21"/>
              </w:rPr>
              <w:t>735100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855" w:type="dxa"/>
            <w:gridSpan w:val="3"/>
          </w:tcPr>
          <w:p>
            <w:pPr>
              <w:rPr>
                <w:rFonts w:ascii="宋体"/>
                <w:b/>
                <w:sz w:val="21"/>
              </w:rPr>
            </w:pPr>
            <w:bookmarkStart w:id="12" w:name="办公地址"/>
            <w:r>
              <w:rPr>
                <w:rFonts w:ascii="宋体"/>
                <w:b/>
                <w:sz w:val="21"/>
              </w:rPr>
              <w:t>甘肃省嘉峪关市嘉北工业园区（甘肃新精诚实业发展有限公司库房）</w:t>
            </w:r>
            <w:bookmarkEnd w:id="12"/>
          </w:p>
        </w:tc>
        <w:tc>
          <w:tcPr>
            <w:tcW w:w="1350" w:type="dxa"/>
            <w:vMerge w:val="continue"/>
            <w:vAlign w:val="center"/>
          </w:tcPr>
          <w:p>
            <w:pPr>
              <w:jc w:val="center"/>
              <w:rPr>
                <w:rFonts w:ascii="宋体"/>
                <w:b/>
                <w:sz w:val="21"/>
              </w:rPr>
            </w:pPr>
          </w:p>
        </w:tc>
        <w:tc>
          <w:tcPr>
            <w:tcW w:w="1383" w:type="dxa"/>
          </w:tcPr>
          <w:p>
            <w:pPr>
              <w:rPr>
                <w:rFonts w:ascii="宋体"/>
                <w:b/>
                <w:sz w:val="21"/>
              </w:rPr>
            </w:pPr>
            <w:bookmarkStart w:id="13" w:name="办公邮编"/>
            <w:r>
              <w:rPr>
                <w:rFonts w:ascii="宋体"/>
                <w:b/>
                <w:sz w:val="21"/>
              </w:rPr>
              <w:t>735100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855" w:type="dxa"/>
            <w:gridSpan w:val="3"/>
          </w:tcPr>
          <w:p>
            <w:pPr>
              <w:rPr>
                <w:rFonts w:ascii="宋体"/>
                <w:b/>
                <w:sz w:val="21"/>
              </w:rPr>
            </w:pPr>
            <w:bookmarkStart w:id="14" w:name="生产地址Add"/>
            <w:r>
              <w:rPr>
                <w:rFonts w:ascii="宋体"/>
                <w:b/>
                <w:sz w:val="21"/>
              </w:rPr>
              <w:t>甘肃省嘉峪关市嘉北工业园区（甘肃新精诚实业发展有限公司库房）</w:t>
            </w:r>
            <w:bookmarkEnd w:id="14"/>
          </w:p>
        </w:tc>
        <w:tc>
          <w:tcPr>
            <w:tcW w:w="1350" w:type="dxa"/>
            <w:vMerge w:val="continue"/>
            <w:vAlign w:val="center"/>
          </w:tcPr>
          <w:p>
            <w:pPr>
              <w:jc w:val="center"/>
              <w:rPr>
                <w:rFonts w:ascii="宋体"/>
                <w:b/>
                <w:sz w:val="21"/>
              </w:rPr>
            </w:pPr>
          </w:p>
        </w:tc>
        <w:tc>
          <w:tcPr>
            <w:tcW w:w="1383" w:type="dxa"/>
          </w:tcPr>
          <w:p>
            <w:pPr>
              <w:rPr>
                <w:rFonts w:ascii="宋体"/>
                <w:b/>
                <w:sz w:val="21"/>
              </w:rPr>
            </w:pPr>
            <w:bookmarkStart w:id="15" w:name="生产邮编"/>
            <w:r>
              <w:rPr>
                <w:rFonts w:ascii="宋体"/>
                <w:b/>
                <w:sz w:val="21"/>
              </w:rPr>
              <w:t>735100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2380" w:type="dxa"/>
          </w:tcPr>
          <w:p>
            <w:pPr>
              <w:rPr>
                <w:rFonts w:ascii="宋体"/>
                <w:b/>
                <w:sz w:val="21"/>
              </w:rPr>
            </w:pPr>
            <w:bookmarkStart w:id="16" w:name="联系人"/>
            <w:r>
              <w:rPr>
                <w:rFonts w:ascii="宋体"/>
                <w:b/>
                <w:sz w:val="21"/>
              </w:rPr>
              <w:t>刘天芝</w:t>
            </w:r>
            <w:bookmarkEnd w:id="16"/>
          </w:p>
        </w:tc>
        <w:tc>
          <w:tcPr>
            <w:tcW w:w="960" w:type="dxa"/>
            <w:vAlign w:val="center"/>
          </w:tcPr>
          <w:p>
            <w:pPr>
              <w:jc w:val="center"/>
              <w:rPr>
                <w:rFonts w:ascii="宋体"/>
                <w:b/>
                <w:sz w:val="21"/>
              </w:rPr>
            </w:pPr>
            <w:r>
              <w:rPr>
                <w:rFonts w:hint="eastAsia" w:ascii="宋体" w:hAnsi="宋体"/>
                <w:b/>
                <w:sz w:val="21"/>
              </w:rPr>
              <w:t>电话</w:t>
            </w:r>
            <w:r>
              <w:rPr>
                <w:b/>
                <w:sz w:val="16"/>
                <w:szCs w:val="16"/>
              </w:rPr>
              <w:t>.</w:t>
            </w:r>
          </w:p>
        </w:tc>
        <w:tc>
          <w:tcPr>
            <w:tcW w:w="1515" w:type="dxa"/>
            <w:vAlign w:val="center"/>
          </w:tcPr>
          <w:p>
            <w:pPr>
              <w:jc w:val="center"/>
              <w:rPr>
                <w:rFonts w:ascii="宋体"/>
                <w:b/>
                <w:sz w:val="21"/>
              </w:rPr>
            </w:pPr>
            <w:bookmarkStart w:id="17" w:name="联系人电话Add"/>
            <w:r>
              <w:rPr>
                <w:rFonts w:ascii="宋体"/>
                <w:b/>
                <w:sz w:val="21"/>
              </w:rPr>
              <w:t>15101753607</w:t>
            </w:r>
            <w:bookmarkEnd w:id="17"/>
          </w:p>
        </w:tc>
        <w:tc>
          <w:tcPr>
            <w:tcW w:w="1350" w:type="dxa"/>
            <w:vAlign w:val="center"/>
          </w:tcPr>
          <w:p>
            <w:pPr>
              <w:jc w:val="center"/>
              <w:rPr>
                <w:rFonts w:ascii="宋体"/>
                <w:b/>
                <w:sz w:val="21"/>
              </w:rPr>
            </w:pPr>
            <w:r>
              <w:rPr>
                <w:rFonts w:hint="eastAsia" w:ascii="宋体" w:hAnsi="宋体"/>
                <w:b/>
                <w:sz w:val="21"/>
              </w:rPr>
              <w:t>传真</w:t>
            </w:r>
          </w:p>
        </w:tc>
        <w:tc>
          <w:tcPr>
            <w:tcW w:w="1383"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380" w:type="dxa"/>
          </w:tcPr>
          <w:p>
            <w:pPr>
              <w:rPr>
                <w:rFonts w:ascii="宋体" w:hAnsi="宋体"/>
                <w:b/>
                <w:sz w:val="21"/>
                <w:szCs w:val="21"/>
              </w:rPr>
            </w:pPr>
            <w:bookmarkStart w:id="19" w:name="法人"/>
            <w:r>
              <w:rPr>
                <w:rFonts w:ascii="宋体" w:hAnsi="宋体"/>
                <w:b/>
                <w:sz w:val="21"/>
                <w:szCs w:val="21"/>
              </w:rPr>
              <w:t>陈诗巧</w:t>
            </w:r>
            <w:bookmarkEnd w:id="19"/>
          </w:p>
        </w:tc>
        <w:tc>
          <w:tcPr>
            <w:tcW w:w="960" w:type="dxa"/>
            <w:vAlign w:val="center"/>
          </w:tcPr>
          <w:p>
            <w:pPr>
              <w:jc w:val="center"/>
              <w:rPr>
                <w:rFonts w:ascii="宋体" w:hAnsi="宋体"/>
                <w:b/>
                <w:sz w:val="21"/>
                <w:szCs w:val="21"/>
              </w:rPr>
            </w:pPr>
            <w:r>
              <w:rPr>
                <w:rFonts w:hint="eastAsia" w:ascii="宋体" w:hAnsi="宋体"/>
                <w:b/>
                <w:sz w:val="21"/>
                <w:szCs w:val="21"/>
              </w:rPr>
              <w:t>总经理</w:t>
            </w:r>
          </w:p>
        </w:tc>
        <w:tc>
          <w:tcPr>
            <w:tcW w:w="1515" w:type="dxa"/>
          </w:tcPr>
          <w:p>
            <w:pPr>
              <w:rPr>
                <w:rFonts w:ascii="宋体" w:hAnsi="宋体"/>
                <w:b/>
                <w:sz w:val="21"/>
                <w:szCs w:val="21"/>
              </w:rPr>
            </w:pPr>
            <w:r>
              <w:rPr>
                <w:rFonts w:ascii="宋体" w:hAnsi="宋体"/>
                <w:b/>
                <w:sz w:val="21"/>
                <w:szCs w:val="21"/>
              </w:rPr>
              <w:t>陈诗巧</w:t>
            </w:r>
          </w:p>
        </w:tc>
        <w:tc>
          <w:tcPr>
            <w:tcW w:w="1350" w:type="dxa"/>
            <w:vAlign w:val="center"/>
          </w:tcPr>
          <w:p>
            <w:pPr>
              <w:jc w:val="center"/>
              <w:rPr>
                <w:rFonts w:ascii="宋体" w:hAnsi="宋体"/>
                <w:b/>
                <w:sz w:val="21"/>
                <w:szCs w:val="21"/>
              </w:rPr>
            </w:pPr>
            <w:r>
              <w:rPr>
                <w:rFonts w:hint="eastAsia" w:ascii="宋体" w:hAnsi="宋体"/>
                <w:b/>
                <w:sz w:val="21"/>
                <w:szCs w:val="21"/>
              </w:rPr>
              <w:t>管理者代表</w:t>
            </w:r>
          </w:p>
        </w:tc>
        <w:tc>
          <w:tcPr>
            <w:tcW w:w="1383" w:type="dxa"/>
          </w:tcPr>
          <w:p>
            <w:pPr>
              <w:rPr>
                <w:rFonts w:ascii="宋体"/>
                <w:b/>
                <w:sz w:val="21"/>
              </w:rPr>
            </w:pPr>
            <w:bookmarkStart w:id="20" w:name="管理者代表"/>
            <w:r>
              <w:rPr>
                <w:rFonts w:ascii="宋体"/>
                <w:b/>
                <w:sz w:val="21"/>
              </w:rPr>
              <w:t>陈诗</w:t>
            </w:r>
            <w:bookmarkEnd w:id="20"/>
            <w:r>
              <w:rPr>
                <w:rFonts w:hint="eastAsia" w:ascii="宋体"/>
                <w:b/>
                <w:sz w:val="21"/>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340" w:type="dxa"/>
            <w:gridSpan w:val="2"/>
            <w:vAlign w:val="center"/>
          </w:tcPr>
          <w:p>
            <w:pPr>
              <w:rPr>
                <w:rFonts w:ascii="宋体" w:hAnsi="宋体"/>
                <w:b/>
                <w:sz w:val="21"/>
                <w:szCs w:val="21"/>
              </w:rPr>
            </w:pPr>
            <w:bookmarkStart w:id="21" w:name="审核日期"/>
            <w:r>
              <w:rPr>
                <w:rFonts w:ascii="宋体" w:hAnsi="宋体"/>
                <w:b/>
                <w:sz w:val="21"/>
                <w:szCs w:val="21"/>
              </w:rPr>
              <w:t>20</w:t>
            </w:r>
            <w:r>
              <w:rPr>
                <w:rFonts w:hint="eastAsia" w:ascii="宋体" w:hAnsi="宋体"/>
                <w:b/>
                <w:sz w:val="21"/>
                <w:szCs w:val="21"/>
                <w:lang w:val="en-US" w:eastAsia="zh-CN"/>
              </w:rPr>
              <w:t>21</w:t>
            </w:r>
            <w:r>
              <w:rPr>
                <w:rFonts w:ascii="宋体" w:hAnsi="宋体"/>
                <w:b/>
                <w:sz w:val="21"/>
                <w:szCs w:val="21"/>
              </w:rPr>
              <w:t>年1月</w:t>
            </w:r>
            <w:r>
              <w:rPr>
                <w:rFonts w:hint="eastAsia" w:ascii="宋体" w:hAnsi="宋体"/>
                <w:b/>
                <w:sz w:val="21"/>
                <w:szCs w:val="21"/>
                <w:lang w:val="en-US" w:eastAsia="zh-CN"/>
              </w:rPr>
              <w:t>8</w:t>
            </w:r>
            <w:r>
              <w:rPr>
                <w:rFonts w:ascii="宋体" w:hAnsi="宋体"/>
                <w:b/>
                <w:sz w:val="21"/>
                <w:szCs w:val="21"/>
              </w:rPr>
              <w:t xml:space="preserve">日 </w:t>
            </w:r>
            <w:r>
              <w:rPr>
                <w:rFonts w:hint="eastAsia" w:ascii="宋体" w:hAnsi="宋体"/>
                <w:b/>
                <w:sz w:val="21"/>
                <w:szCs w:val="21"/>
                <w:lang w:val="en-US" w:eastAsia="zh-CN"/>
              </w:rPr>
              <w:t>上午</w:t>
            </w:r>
            <w:r>
              <w:rPr>
                <w:rFonts w:ascii="宋体" w:hAnsi="宋体"/>
                <w:b/>
                <w:sz w:val="21"/>
                <w:szCs w:val="21"/>
              </w:rPr>
              <w:t>至20</w:t>
            </w:r>
            <w:r>
              <w:rPr>
                <w:rFonts w:hint="eastAsia" w:ascii="宋体" w:hAnsi="宋体"/>
                <w:b/>
                <w:sz w:val="21"/>
                <w:szCs w:val="21"/>
                <w:lang w:val="en-US" w:eastAsia="zh-CN"/>
              </w:rPr>
              <w:t>21</w:t>
            </w:r>
            <w:r>
              <w:rPr>
                <w:rFonts w:ascii="宋体" w:hAnsi="宋体"/>
                <w:b/>
                <w:sz w:val="21"/>
                <w:szCs w:val="21"/>
              </w:rPr>
              <w:t>年1月</w:t>
            </w:r>
            <w:r>
              <w:rPr>
                <w:rFonts w:hint="eastAsia" w:ascii="宋体" w:hAnsi="宋体"/>
                <w:b/>
                <w:sz w:val="21"/>
                <w:szCs w:val="21"/>
                <w:lang w:val="en-US" w:eastAsia="zh-CN"/>
              </w:rPr>
              <w:t>10</w:t>
            </w:r>
            <w:r>
              <w:rPr>
                <w:rFonts w:ascii="宋体" w:hAnsi="宋体"/>
                <w:b/>
                <w:sz w:val="21"/>
                <w:szCs w:val="21"/>
              </w:rPr>
              <w:t>日 下午</w:t>
            </w:r>
            <w:bookmarkEnd w:id="21"/>
          </w:p>
        </w:tc>
        <w:tc>
          <w:tcPr>
            <w:tcW w:w="1515" w:type="dxa"/>
            <w:vAlign w:val="center"/>
          </w:tcPr>
          <w:p>
            <w:pPr>
              <w:rPr>
                <w:rFonts w:ascii="宋体" w:hAnsi="宋体"/>
                <w:b/>
                <w:sz w:val="21"/>
                <w:szCs w:val="21"/>
              </w:rPr>
            </w:pPr>
            <w:r>
              <w:rPr>
                <w:rFonts w:hint="eastAsia" w:ascii="宋体" w:hAnsi="宋体"/>
                <w:b/>
                <w:sz w:val="21"/>
                <w:szCs w:val="21"/>
              </w:rPr>
              <w:t>一体化审核</w:t>
            </w:r>
          </w:p>
        </w:tc>
        <w:tc>
          <w:tcPr>
            <w:tcW w:w="2733" w:type="dxa"/>
            <w:gridSpan w:val="2"/>
            <w:vAlign w:val="center"/>
          </w:tcPr>
          <w:p>
            <w:pPr>
              <w:rPr>
                <w:rFonts w:ascii="宋体" w:hAnsi="宋体"/>
                <w:b/>
                <w:sz w:val="21"/>
                <w:szCs w:val="21"/>
              </w:rPr>
            </w:pPr>
            <w:r>
              <w:rPr>
                <w:rFonts w:hint="eastAsia"/>
                <w:b/>
                <w:sz w:val="21"/>
                <w:szCs w:val="21"/>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0" w:lineRule="atLeast"/>
              <w:jc w:val="left"/>
              <w:rPr>
                <w:rFonts w:hint="eastAsia" w:ascii="宋体" w:hAnsi="宋体"/>
              </w:rPr>
            </w:pPr>
            <w:bookmarkStart w:id="22" w:name="Q勾选15Add1"/>
            <w:r>
              <w:rPr>
                <w:rFonts w:hint="eastAsia" w:ascii="宋体" w:hAnsi="宋体"/>
                <w:b/>
                <w:sz w:val="21"/>
                <w:szCs w:val="21"/>
              </w:rPr>
              <w:t>■</w:t>
            </w:r>
            <w:bookmarkEnd w:id="22"/>
            <w:r>
              <w:rPr>
                <w:rFonts w:ascii="宋体" w:hAnsi="宋体"/>
                <w:b/>
                <w:sz w:val="21"/>
                <w:szCs w:val="21"/>
              </w:rPr>
              <w:t>Q</w:t>
            </w:r>
            <w:r>
              <w:rPr>
                <w:rFonts w:hint="eastAsia" w:ascii="宋体" w:hAnsi="宋体"/>
                <w:b/>
                <w:sz w:val="21"/>
                <w:szCs w:val="21"/>
              </w:rPr>
              <w:t>：</w:t>
            </w:r>
            <w:bookmarkStart w:id="23" w:name="QJ勾选Add1"/>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bookmarkStart w:id="24" w:name="审核范围"/>
            <w:r>
              <w:rPr>
                <w:rFonts w:hint="eastAsia" w:ascii="宋体" w:hAnsi="宋体"/>
              </w:rPr>
              <w:t>Q：废钢回收、加工和销售。</w:t>
            </w:r>
          </w:p>
          <w:p>
            <w:pPr>
              <w:spacing w:line="0" w:lineRule="atLeast"/>
              <w:jc w:val="left"/>
              <w:rPr>
                <w:rFonts w:hint="eastAsia" w:ascii="宋体" w:hAnsi="宋体"/>
              </w:rPr>
            </w:pPr>
            <w:r>
              <w:rPr>
                <w:rFonts w:hint="eastAsia" w:ascii="宋体" w:hAnsi="宋体"/>
                <w:b/>
                <w:sz w:val="21"/>
                <w:szCs w:val="21"/>
              </w:rPr>
              <w:t>■</w:t>
            </w:r>
            <w:r>
              <w:rPr>
                <w:rFonts w:hint="eastAsia" w:ascii="宋体" w:hAnsi="宋体"/>
              </w:rPr>
              <w:t>E：废钢回收、加工和销售所涉及的相关环境管理活动。</w:t>
            </w:r>
          </w:p>
          <w:p>
            <w:pPr>
              <w:spacing w:line="360" w:lineRule="exact"/>
              <w:rPr>
                <w:rFonts w:ascii="宋体" w:hAnsi="宋体"/>
                <w:b/>
                <w:sz w:val="21"/>
                <w:szCs w:val="21"/>
              </w:rPr>
            </w:pPr>
            <w:r>
              <w:rPr>
                <w:rFonts w:hint="eastAsia" w:ascii="宋体" w:hAnsi="宋体"/>
                <w:b/>
                <w:sz w:val="21"/>
                <w:szCs w:val="21"/>
              </w:rPr>
              <w:t>■</w:t>
            </w:r>
            <w:r>
              <w:rPr>
                <w:rFonts w:hint="eastAsia" w:ascii="宋体" w:hAnsi="宋体"/>
              </w:rPr>
              <w:t>O：废钢回收、加工和销售所涉及的相关职业健康安全管理活动。</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sym w:font="Wingdings 2" w:char="00A3"/>
            </w: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380" w:type="dxa"/>
          </w:tcPr>
          <w:p>
            <w:pPr>
              <w:spacing w:line="260" w:lineRule="exact"/>
              <w:rPr>
                <w:rFonts w:ascii="宋体" w:hAnsi="宋体"/>
                <w:b/>
                <w:sz w:val="21"/>
                <w:szCs w:val="21"/>
              </w:rPr>
            </w:pPr>
            <w:bookmarkStart w:id="25" w:name="专业代码"/>
            <w:r>
              <w:rPr>
                <w:rFonts w:ascii="宋体" w:hAnsi="宋体"/>
                <w:b/>
                <w:sz w:val="21"/>
                <w:szCs w:val="21"/>
              </w:rPr>
              <w:t>Q：24.01.02;29.11.07</w:t>
            </w:r>
          </w:p>
          <w:p>
            <w:pPr>
              <w:spacing w:line="260" w:lineRule="exact"/>
              <w:rPr>
                <w:rFonts w:ascii="宋体" w:hAnsi="宋体"/>
                <w:b/>
                <w:sz w:val="21"/>
                <w:szCs w:val="21"/>
              </w:rPr>
            </w:pPr>
            <w:r>
              <w:rPr>
                <w:rFonts w:ascii="宋体" w:hAnsi="宋体"/>
                <w:b/>
                <w:sz w:val="21"/>
                <w:szCs w:val="21"/>
              </w:rPr>
              <w:t>E：24.01.02;29.11.07</w:t>
            </w:r>
          </w:p>
          <w:p>
            <w:pPr>
              <w:spacing w:line="260" w:lineRule="exact"/>
              <w:rPr>
                <w:rFonts w:ascii="宋体" w:hAnsi="宋体"/>
                <w:b/>
                <w:sz w:val="21"/>
                <w:szCs w:val="21"/>
              </w:rPr>
            </w:pPr>
            <w:r>
              <w:rPr>
                <w:rFonts w:ascii="宋体" w:hAnsi="宋体"/>
                <w:b/>
                <w:sz w:val="21"/>
                <w:szCs w:val="21"/>
              </w:rPr>
              <w:t>O：24.01.02;29.11.07</w:t>
            </w:r>
            <w:bookmarkEnd w:id="25"/>
          </w:p>
        </w:tc>
        <w:tc>
          <w:tcPr>
            <w:tcW w:w="960"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515" w:type="dxa"/>
          </w:tcPr>
          <w:p>
            <w:pPr>
              <w:spacing w:line="260" w:lineRule="exact"/>
              <w:rPr>
                <w:rFonts w:ascii="宋体" w:hAnsi="宋体"/>
                <w:b/>
                <w:sz w:val="21"/>
                <w:szCs w:val="21"/>
              </w:rPr>
            </w:pPr>
            <w:r>
              <w:rPr>
                <w:rFonts w:hint="eastAsia" w:ascii="宋体" w:hAnsi="宋体"/>
                <w:b/>
                <w:sz w:val="21"/>
                <w:szCs w:val="21"/>
              </w:rPr>
              <w:t>2</w:t>
            </w:r>
            <w:r>
              <w:rPr>
                <w:rFonts w:ascii="宋体" w:hAnsi="宋体"/>
                <w:b/>
                <w:sz w:val="21"/>
                <w:szCs w:val="21"/>
              </w:rPr>
              <w:t>022</w:t>
            </w:r>
            <w:r>
              <w:rPr>
                <w:rFonts w:hint="eastAsia" w:ascii="宋体" w:hAnsi="宋体"/>
                <w:b/>
                <w:sz w:val="21"/>
                <w:szCs w:val="21"/>
              </w:rPr>
              <w:t>年2月1</w:t>
            </w:r>
            <w:r>
              <w:rPr>
                <w:rFonts w:ascii="宋体" w:hAnsi="宋体"/>
                <w:b/>
                <w:sz w:val="21"/>
                <w:szCs w:val="21"/>
              </w:rPr>
              <w:t>3</w:t>
            </w:r>
            <w:r>
              <w:rPr>
                <w:rFonts w:hint="eastAsia" w:ascii="宋体" w:hAnsi="宋体"/>
                <w:b/>
                <w:sz w:val="21"/>
                <w:szCs w:val="21"/>
              </w:rPr>
              <w:t>日</w:t>
            </w:r>
          </w:p>
        </w:tc>
        <w:tc>
          <w:tcPr>
            <w:tcW w:w="1350"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383" w:type="dxa"/>
          </w:tcPr>
          <w:p>
            <w:pPr>
              <w:spacing w:line="260" w:lineRule="exact"/>
              <w:rPr>
                <w:rFonts w:ascii="宋体"/>
                <w:b/>
                <w:sz w:val="21"/>
              </w:rPr>
            </w:pPr>
            <w:r>
              <w:rPr>
                <w:rFonts w:hint="eastAsia" w:ascii="宋体"/>
                <w:b/>
                <w:sz w:val="21"/>
              </w:rPr>
              <w:t>2</w:t>
            </w:r>
            <w:r>
              <w:rPr>
                <w:rFonts w:ascii="宋体"/>
                <w:b/>
                <w:sz w:val="21"/>
              </w:rPr>
              <w:t>019.</w:t>
            </w:r>
            <w:r>
              <w:rPr>
                <w:rFonts w:hint="eastAsia" w:ascii="宋体"/>
                <w:b/>
                <w:sz w:val="21"/>
                <w:lang w:val="en-US" w:eastAsia="zh-CN"/>
              </w:rPr>
              <w:t>1</w:t>
            </w:r>
            <w:r>
              <w:rPr>
                <w:rFonts w:ascii="宋体"/>
                <w:b/>
                <w:sz w:val="21"/>
              </w:rPr>
              <w:t>1.2</w:t>
            </w:r>
            <w:r>
              <w:rPr>
                <w:rFonts w:hint="eastAsia" w:ascii="宋体"/>
                <w:b/>
                <w:sz w:val="21"/>
                <w:lang w:val="en-US" w:eastAsia="zh-CN"/>
              </w:rPr>
              <w:t>7</w:t>
            </w:r>
            <w:r>
              <w:rPr>
                <w:rFonts w:hint="eastAsia" w:ascii="宋体"/>
                <w:b/>
                <w:sz w:val="21"/>
              </w:rPr>
              <w:t>-</w:t>
            </w:r>
            <w:r>
              <w:rPr>
                <w:rFonts w:hint="eastAsia" w:ascii="宋体"/>
                <w:b/>
                <w:sz w:val="21"/>
                <w:lang w:val="en-US" w:eastAsia="zh-CN"/>
              </w:rPr>
              <w:t>29</w:t>
            </w:r>
            <w:r>
              <w:rPr>
                <w:rFonts w:hint="eastAsia" w:ascii="宋体"/>
                <w:b/>
                <w:sz w:val="21"/>
              </w:rPr>
              <w:t>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生产┄┄）是废钢回收、加工和销售</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服务抽查了：管理层、办公室、生产部、市场部、财务部</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w:t>
      </w:r>
      <w:r>
        <w:rPr>
          <w:rFonts w:ascii="宋体" w:hAnsi="宋体"/>
          <w:b/>
          <w:sz w:val="21"/>
          <w:szCs w:val="21"/>
        </w:rPr>
        <w:t>019</w:t>
      </w:r>
      <w:r>
        <w:rPr>
          <w:rFonts w:hint="eastAsia" w:ascii="宋体" w:hAnsi="宋体"/>
          <w:b/>
          <w:sz w:val="21"/>
          <w:szCs w:val="21"/>
        </w:rPr>
        <w:t>年1</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29</w:t>
      </w:r>
      <w:r>
        <w:rPr>
          <w:rFonts w:hint="eastAsia" w:ascii="宋体" w:hAnsi="宋体"/>
          <w:b/>
          <w:sz w:val="21"/>
          <w:szCs w:val="21"/>
        </w:rPr>
        <w:t>日至2</w:t>
      </w:r>
      <w:r>
        <w:rPr>
          <w:rFonts w:ascii="宋体" w:hAnsi="宋体"/>
          <w:b/>
          <w:sz w:val="21"/>
          <w:szCs w:val="21"/>
        </w:rPr>
        <w:t>0</w:t>
      </w:r>
      <w:r>
        <w:rPr>
          <w:rFonts w:hint="eastAsia" w:ascii="宋体" w:hAnsi="宋体"/>
          <w:b/>
          <w:sz w:val="21"/>
          <w:szCs w:val="21"/>
          <w:lang w:val="en-US" w:eastAsia="zh-CN"/>
        </w:rPr>
        <w:t>21</w:t>
      </w:r>
      <w:r>
        <w:rPr>
          <w:rFonts w:hint="eastAsia" w:ascii="宋体" w:hAnsi="宋体"/>
          <w:b/>
          <w:sz w:val="21"/>
          <w:szCs w:val="21"/>
        </w:rPr>
        <w:t>年1月</w:t>
      </w:r>
      <w:r>
        <w:rPr>
          <w:rFonts w:hint="eastAsia" w:ascii="宋体" w:hAnsi="宋体"/>
          <w:b/>
          <w:sz w:val="21"/>
          <w:szCs w:val="21"/>
          <w:lang w:val="en-US" w:eastAsia="zh-CN"/>
        </w:rPr>
        <w:t>10</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2" w:firstLineChars="200"/>
              <w:rPr>
                <w:rFonts w:ascii="宋体" w:hAnsi="宋体"/>
                <w:b/>
                <w:sz w:val="21"/>
                <w:szCs w:val="21"/>
              </w:rPr>
            </w:pPr>
            <w:r>
              <w:rPr>
                <w:rFonts w:hint="eastAsia" w:ascii="宋体" w:hAnsi="宋体"/>
                <w:b/>
                <w:sz w:val="21"/>
                <w:szCs w:val="21"/>
              </w:rPr>
              <w:t>经营范围：废钢回收、加工和销售。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22" w:firstLineChars="200"/>
              <w:rPr>
                <w:rFonts w:ascii="宋体" w:hAnsi="宋体"/>
                <w:b/>
                <w:sz w:val="21"/>
                <w:szCs w:val="21"/>
              </w:rPr>
            </w:pPr>
            <w:r>
              <w:rPr>
                <w:rFonts w:hint="eastAsia" w:ascii="宋体" w:hAnsi="宋体"/>
                <w:b/>
                <w:sz w:val="21"/>
                <w:szCs w:val="21"/>
              </w:rPr>
              <w:t>提供了《组织内外部环境因素识别表》：</w:t>
            </w:r>
          </w:p>
          <w:p>
            <w:pPr>
              <w:spacing w:line="240" w:lineRule="exact"/>
              <w:ind w:firstLine="422" w:firstLineChars="200"/>
              <w:rPr>
                <w:rFonts w:ascii="宋体" w:hAnsi="宋体"/>
                <w:b/>
                <w:sz w:val="21"/>
                <w:szCs w:val="21"/>
              </w:rPr>
            </w:pPr>
            <w:r>
              <w:rPr>
                <w:rFonts w:hint="eastAsia" w:ascii="宋体" w:hAnsi="宋体"/>
                <w:b/>
                <w:sz w:val="21"/>
                <w:szCs w:val="21"/>
              </w:rPr>
              <w:t>内部环境：资源因素－公司提供符合废钢回收、加工和销售的场所，配备适宜的硬件和软件设施设备。信息来源：设施设备清单－具体现状描述：本公司设施设备可以确保废钢回收、加工和销售，基本的质量控制要求－SWOT分析：WT……</w:t>
            </w:r>
          </w:p>
          <w:p>
            <w:pPr>
              <w:spacing w:line="240" w:lineRule="exact"/>
              <w:ind w:firstLine="422" w:firstLineChars="200"/>
              <w:rPr>
                <w:rFonts w:ascii="宋体" w:hAnsi="宋体"/>
                <w:b/>
                <w:sz w:val="21"/>
                <w:szCs w:val="21"/>
              </w:rPr>
            </w:pPr>
            <w:r>
              <w:rPr>
                <w:rFonts w:hint="eastAsia" w:ascii="宋体" w:hAnsi="宋体"/>
                <w:b/>
                <w:sz w:val="21"/>
                <w:szCs w:val="21"/>
              </w:rPr>
              <w:t>外部环境：竞争力－公司类别：废钢回收、加工和销售，当前市场占有率不高，其他类似企业比较多－信息来源：市场调查和分析－具体现状描述：本公司产品质量稳定，但在市场中同行也多，竞争压力大－SWOT分析：ST……</w:t>
            </w:r>
          </w:p>
          <w:p>
            <w:pPr>
              <w:spacing w:line="240" w:lineRule="exact"/>
              <w:ind w:firstLine="422" w:firstLineChars="200"/>
              <w:rPr>
                <w:rFonts w:ascii="宋体" w:hAnsi="宋体"/>
                <w:b/>
                <w:sz w:val="21"/>
                <w:szCs w:val="21"/>
              </w:rPr>
            </w:pPr>
            <w:r>
              <w:rPr>
                <w:rFonts w:hint="eastAsia" w:ascii="宋体" w:hAnsi="宋体"/>
                <w:b/>
                <w:sz w:val="21"/>
                <w:szCs w:val="21"/>
              </w:rPr>
              <w:t>公司管理层已确定了外部和内部因素，已经对经营环境、内外部环境进行分析并提出对策，并进行了监视和评审。实施开始时间：2019.5.</w:t>
            </w:r>
            <w:r>
              <w:rPr>
                <w:rFonts w:ascii="宋体" w:hAnsi="宋体"/>
                <w:b/>
                <w:sz w:val="21"/>
                <w:szCs w:val="21"/>
              </w:rPr>
              <w:t>3</w:t>
            </w:r>
            <w:r>
              <w:rPr>
                <w:rFonts w:hint="eastAsia" w:ascii="宋体" w:hAnsi="宋体"/>
                <w:b/>
                <w:sz w:val="21"/>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相关方包括顾客、所有者、组织中的成员、供应商、银行、工会、合伙人、竞争对手或社会团体或行业协会。在每年的管理评审前，由相关部门负责人进行识别并评估其适用性,具体部门及识别见管理评审输入。主要顾客群：酒钢集团等</w:t>
            </w:r>
          </w:p>
          <w:p>
            <w:pPr>
              <w:spacing w:line="240" w:lineRule="exact"/>
              <w:ind w:firstLine="422" w:firstLineChars="200"/>
              <w:rPr>
                <w:rFonts w:ascii="宋体" w:hAnsi="宋体"/>
                <w:b/>
                <w:sz w:val="21"/>
                <w:szCs w:val="21"/>
              </w:rPr>
            </w:pPr>
            <w:r>
              <w:rPr>
                <w:rFonts w:hint="eastAsia" w:ascii="宋体" w:hAnsi="宋体"/>
                <w:b/>
                <w:sz w:val="21"/>
                <w:szCs w:val="21"/>
              </w:rPr>
              <w:t>相关方期望或要求监测与更新：管理者代表每年在管理评审前组织一次全面的内外部内外部环境要素识别与评审。</w:t>
            </w:r>
          </w:p>
          <w:p>
            <w:pPr>
              <w:spacing w:line="240" w:lineRule="exact"/>
              <w:ind w:firstLine="422" w:firstLineChars="200"/>
              <w:rPr>
                <w:rFonts w:ascii="宋体" w:hAnsi="宋体"/>
                <w:b/>
                <w:sz w:val="21"/>
                <w:szCs w:val="21"/>
              </w:rPr>
            </w:pPr>
            <w:r>
              <w:rPr>
                <w:rFonts w:hint="eastAsia" w:ascii="宋体" w:hAnsi="宋体"/>
                <w:b/>
                <w:sz w:val="21"/>
                <w:szCs w:val="21"/>
              </w:rPr>
              <w:t>各部门在获得内外部环境要素信息变化时，应及时告知管理者代表，由管理者代表对《相关方期望或要求识别表》进行修订。</w:t>
            </w:r>
          </w:p>
          <w:p>
            <w:pPr>
              <w:spacing w:line="240" w:lineRule="exact"/>
              <w:ind w:firstLine="422" w:firstLineChars="200"/>
              <w:rPr>
                <w:rFonts w:ascii="宋体" w:hAnsi="宋体"/>
                <w:b/>
                <w:sz w:val="21"/>
                <w:szCs w:val="21"/>
              </w:rPr>
            </w:pPr>
            <w:r>
              <w:rPr>
                <w:rFonts w:hint="eastAsia" w:ascii="宋体" w:hAnsi="宋体"/>
                <w:b/>
                <w:sz w:val="21"/>
                <w:szCs w:val="21"/>
              </w:rPr>
              <w:t>管理评审前，管理者代表汇总企业内外部环境要素情况及相关方的期望与要求的相关资料，并提交管理评审。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3.</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280" w:lineRule="exact"/>
              <w:ind w:firstLine="422" w:firstLineChars="200"/>
              <w:rPr>
                <w:rFonts w:ascii="宋体" w:hAnsi="宋体"/>
                <w:b/>
                <w:sz w:val="21"/>
                <w:szCs w:val="21"/>
              </w:rPr>
            </w:pPr>
            <w:r>
              <w:rPr>
                <w:rFonts w:ascii="宋体" w:hAnsi="宋体"/>
                <w:b/>
                <w:sz w:val="21"/>
                <w:szCs w:val="21"/>
              </w:rPr>
              <w:t xml:space="preserve">   </w:t>
            </w:r>
            <w:r>
              <w:rPr>
                <w:rFonts w:hint="eastAsia" w:ascii="宋体" w:hAnsi="宋体"/>
                <w:b/>
                <w:sz w:val="21"/>
                <w:szCs w:val="21"/>
              </w:rPr>
              <w:t xml:space="preserve"> 管理方针：“ 科学管理，争创精品，顾客至上，持续改进；；”，通过管理手册的分发和开会等沟通使全体员工理解方针，通过内审和管理评审保持方针的适宜性和有效性。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spacing w:line="28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制定了《风险和机遇的应对控制程序》，明确风险和机遇事件的识别方法/途径、风险和机遇事件的评估方式、制定主要风险和机遇事件的应对措施的要求、评价这些措施有效性的方法。</w:t>
            </w:r>
          </w:p>
          <w:p>
            <w:pPr>
              <w:spacing w:line="280" w:lineRule="exact"/>
              <w:ind w:firstLine="422" w:firstLineChars="200"/>
              <w:rPr>
                <w:rFonts w:ascii="宋体" w:hAnsi="宋体"/>
                <w:b/>
                <w:sz w:val="21"/>
                <w:szCs w:val="21"/>
              </w:rPr>
            </w:pPr>
            <w:r>
              <w:rPr>
                <w:rFonts w:hint="eastAsia" w:ascii="宋体" w:hAnsi="宋体"/>
                <w:b/>
                <w:sz w:val="21"/>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80" w:lineRule="exact"/>
              <w:ind w:firstLine="422" w:firstLineChars="200"/>
              <w:rPr>
                <w:rFonts w:ascii="宋体" w:hAnsi="宋体"/>
                <w:b/>
                <w:sz w:val="21"/>
                <w:szCs w:val="21"/>
              </w:rPr>
            </w:pPr>
            <w:r>
              <w:rPr>
                <w:rFonts w:hint="eastAsia" w:ascii="宋体" w:hAnsi="宋体"/>
                <w:b/>
                <w:sz w:val="21"/>
                <w:szCs w:val="2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spacing w:line="280" w:lineRule="exact"/>
              <w:ind w:firstLine="422" w:firstLineChars="200"/>
              <w:rPr>
                <w:rFonts w:ascii="宋体" w:hAnsi="宋体"/>
                <w:b/>
                <w:sz w:val="21"/>
                <w:szCs w:val="21"/>
              </w:rPr>
            </w:pPr>
            <w:r>
              <w:rPr>
                <w:rFonts w:hint="eastAsia" w:ascii="宋体" w:hAnsi="宋体"/>
                <w:b/>
                <w:sz w:val="21"/>
                <w:szCs w:val="21"/>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质量管理体系过程有：人力资源、基础设施、文件、机构、职责、产品和服务的要求、外部提供的产品和服务、产品放行、不合格输出控制、绩效评价、改进等；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 xml:space="preserve">其中关键过程有：分拣等                                                       </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 xml:space="preserve">需要确认过程：销售过程等。 </w:t>
            </w:r>
            <w:r>
              <w:rPr>
                <w:rFonts w:ascii="宋体" w:hAnsi="宋体"/>
                <w:b/>
                <w:sz w:val="21"/>
                <w:szCs w:val="21"/>
              </w:rPr>
              <w:t xml:space="preserve"> </w:t>
            </w:r>
          </w:p>
          <w:p>
            <w:pPr>
              <w:pStyle w:val="15"/>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宋体" w:hAnsi="宋体"/>
                <w:b/>
                <w:sz w:val="21"/>
                <w:szCs w:val="21"/>
              </w:rPr>
            </w:pPr>
            <w:r>
              <w:rPr>
                <w:rFonts w:hint="eastAsia"/>
                <w:b/>
                <w:bCs/>
              </w:rPr>
              <w:t>本公司</w:t>
            </w:r>
            <w:r>
              <w:rPr>
                <w:rFonts w:hint="eastAsia" w:ascii="宋体" w:hAnsi="宋体"/>
                <w:b/>
                <w:bCs/>
              </w:rPr>
              <w:t>产品</w:t>
            </w:r>
            <w:r>
              <w:rPr>
                <w:rFonts w:hint="eastAsia"/>
                <w:b/>
                <w:bCs/>
              </w:rPr>
              <w:t>废钢，</w:t>
            </w:r>
            <w:r>
              <w:rPr>
                <w:rFonts w:hint="eastAsia" w:ascii="宋体" w:hAnsi="宋体"/>
                <w:b/>
                <w:bCs/>
              </w:rPr>
              <w:t>按</w:t>
            </w:r>
            <w:r>
              <w:rPr>
                <w:rFonts w:hint="eastAsia"/>
                <w:b/>
                <w:bCs/>
                <w:szCs w:val="21"/>
              </w:rPr>
              <w:t>GB/T</w:t>
            </w:r>
            <w:r>
              <w:rPr>
                <w:b/>
                <w:bCs/>
                <w:szCs w:val="21"/>
              </w:rPr>
              <w:t>4223</w:t>
            </w:r>
            <w:r>
              <w:rPr>
                <w:rFonts w:hint="eastAsia"/>
                <w:b/>
                <w:bCs/>
                <w:szCs w:val="21"/>
              </w:rPr>
              <w:t>-</w:t>
            </w:r>
            <w:r>
              <w:rPr>
                <w:b/>
                <w:bCs/>
                <w:szCs w:val="21"/>
              </w:rPr>
              <w:t>2017</w:t>
            </w:r>
            <w:r>
              <w:rPr>
                <w:rFonts w:hint="eastAsia"/>
                <w:b/>
                <w:bCs/>
                <w:szCs w:val="21"/>
              </w:rPr>
              <w:t>《废钢铁》</w:t>
            </w:r>
            <w:r>
              <w:rPr>
                <w:b/>
                <w:bCs/>
                <w:szCs w:val="21"/>
              </w:rPr>
              <w:t>国家标准</w:t>
            </w:r>
            <w:r>
              <w:rPr>
                <w:rFonts w:hint="eastAsia"/>
                <w:b/>
                <w:bCs/>
                <w:szCs w:val="21"/>
              </w:rPr>
              <w:t>进行</w:t>
            </w:r>
            <w:r>
              <w:rPr>
                <w:rFonts w:hint="eastAsia" w:ascii="宋体" w:hAnsi="宋体"/>
                <w:b/>
                <w:bCs/>
                <w:szCs w:val="28"/>
              </w:rPr>
              <w:t>回收、加工</w:t>
            </w:r>
            <w:r>
              <w:rPr>
                <w:rFonts w:hint="eastAsia" w:ascii="宋体" w:hAnsi="宋体"/>
                <w:b/>
                <w:bCs/>
              </w:rPr>
              <w:t>，</w:t>
            </w:r>
            <w:r>
              <w:rPr>
                <w:b/>
                <w:bCs/>
              </w:rPr>
              <w:t>不涉及ISO9001：2015标准8.3条“产品和服务的设计和开发”， 故删去</w:t>
            </w:r>
            <w:r>
              <w:rPr>
                <w:rFonts w:hint="eastAsia"/>
                <w:b/>
                <w:bCs/>
              </w:rPr>
              <w:t>此</w:t>
            </w:r>
            <w:r>
              <w:rPr>
                <w:b/>
                <w:bCs/>
              </w:rPr>
              <w:t>章节，删减后不影响公司提供满足顾客和适用法律法规要求的产品的能力和责任。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根据公司经营性质，识别了各部门和场所的环境因素，并对环境因素进行了评价，评价出了重要环境因素（噪声的排放、粉尘排放、固废排物、火灾爆炸、能源/资源消耗等)，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p>
          <w:p>
            <w:pPr>
              <w:spacing w:line="240" w:lineRule="exact"/>
              <w:ind w:firstLine="422" w:firstLineChars="200"/>
              <w:rPr>
                <w:rFonts w:ascii="宋体" w:hAnsi="宋体"/>
                <w:b/>
                <w:sz w:val="21"/>
                <w:szCs w:val="21"/>
              </w:rPr>
            </w:pPr>
            <w:r>
              <w:rPr>
                <w:rFonts w:hint="eastAsia" w:ascii="宋体" w:hAnsi="宋体"/>
                <w:b/>
                <w:sz w:val="21"/>
                <w:szCs w:val="21"/>
              </w:rPr>
              <w:t>根据组织经营性质，识别了各部门和场所的危险源，并对危险源进行了评价，评价出不可接受风险（火灾、触电、物体打击、机械伤害、高处坠落等），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rPr>
                <w:rFonts w:ascii="宋体" w:hAnsi="宋体"/>
                <w:b/>
                <w:sz w:val="21"/>
                <w:szCs w:val="21"/>
              </w:rPr>
            </w:pPr>
          </w:p>
          <w:p>
            <w:pPr>
              <w:numPr>
                <w:ilvl w:val="0"/>
                <w:numId w:val="1"/>
              </w:numPr>
              <w:tabs>
                <w:tab w:val="left" w:pos="540"/>
              </w:tabs>
              <w:spacing w:line="300" w:lineRule="exact"/>
              <w:ind w:left="-12" w:leftChars="-43" w:hanging="91" w:hangingChars="43"/>
              <w:rPr>
                <w:rFonts w:ascii="宋体" w:hAnsi="宋体"/>
                <w:b/>
                <w:sz w:val="21"/>
                <w:szCs w:val="21"/>
              </w:rPr>
            </w:pPr>
            <w:r>
              <w:rPr>
                <w:rFonts w:hint="eastAsia" w:ascii="宋体" w:hAnsi="宋体"/>
                <w:b/>
                <w:sz w:val="21"/>
                <w:szCs w:val="21"/>
              </w:rPr>
              <w:t>获取法律法规项，■法律法规获取充分</w:t>
            </w:r>
            <w:r>
              <w:rPr>
                <w:rFonts w:ascii="宋体" w:hAnsi="宋体"/>
                <w:b/>
                <w:sz w:val="21"/>
                <w:szCs w:val="21"/>
              </w:rPr>
              <w:t xml:space="preserve"> </w:t>
            </w:r>
          </w:p>
          <w:p>
            <w:pPr>
              <w:numPr>
                <w:ilvl w:val="0"/>
                <w:numId w:val="1"/>
              </w:numPr>
              <w:tabs>
                <w:tab w:val="left" w:pos="540"/>
              </w:tabs>
              <w:spacing w:line="300" w:lineRule="exact"/>
              <w:rPr>
                <w:rFonts w:ascii="宋体" w:hAnsi="宋体"/>
                <w:b/>
                <w:sz w:val="21"/>
                <w:szCs w:val="21"/>
              </w:rPr>
            </w:pPr>
            <w:r>
              <w:rPr>
                <w:rFonts w:hint="eastAsia" w:ascii="宋体" w:hAnsi="宋体"/>
                <w:b/>
                <w:sz w:val="21"/>
                <w:szCs w:val="21"/>
              </w:rPr>
              <w:t>结合公司的■产品</w:t>
            </w:r>
            <w:r>
              <w:rPr>
                <w:rFonts w:ascii="宋体" w:hAnsi="宋体"/>
                <w:b/>
                <w:sz w:val="21"/>
                <w:szCs w:val="21"/>
              </w:rPr>
              <w:t>/</w:t>
            </w:r>
            <w:r>
              <w:rPr>
                <w:rFonts w:hint="eastAsia" w:ascii="宋体" w:hAnsi="宋体"/>
                <w:b/>
                <w:sz w:val="21"/>
                <w:szCs w:val="21"/>
              </w:rPr>
              <w:t>服务■环境因素■危险源，■确定</w:t>
            </w:r>
            <w:r>
              <w:rPr>
                <w:rFonts w:ascii="宋体" w:hAnsi="宋体"/>
                <w:b/>
                <w:sz w:val="21"/>
                <w:szCs w:val="21"/>
              </w:rPr>
              <w:t xml:space="preserve"> </w:t>
            </w:r>
            <w:r>
              <w:rPr>
                <w:rFonts w:hint="eastAsia" w:ascii="宋体" w:hAnsi="宋体"/>
                <w:b/>
                <w:sz w:val="21"/>
                <w:szCs w:val="21"/>
              </w:rPr>
              <w:t>□未确定法律法规要求的具体条款，</w:t>
            </w:r>
          </w:p>
          <w:p>
            <w:pPr>
              <w:numPr>
                <w:ilvl w:val="0"/>
                <w:numId w:val="1"/>
              </w:numPr>
              <w:tabs>
                <w:tab w:val="left" w:pos="540"/>
              </w:tabs>
              <w:spacing w:line="300" w:lineRule="exact"/>
              <w:rPr>
                <w:rFonts w:ascii="宋体" w:hAnsi="宋体"/>
                <w:b/>
                <w:color w:val="000000"/>
                <w:sz w:val="21"/>
                <w:szCs w:val="21"/>
              </w:rPr>
            </w:pPr>
            <w:r>
              <w:rPr>
                <w:rFonts w:hint="eastAsia" w:ascii="宋体" w:hAnsi="宋体"/>
                <w:b/>
                <w:sz w:val="21"/>
                <w:szCs w:val="21"/>
              </w:rPr>
              <w:t>法律法规的宣传方式：</w:t>
            </w:r>
            <w:r>
              <w:rPr>
                <w:rFonts w:hint="eastAsia" w:ascii="宋体" w:hAnsi="宋体"/>
                <w:b/>
                <w:color w:val="000000"/>
                <w:sz w:val="21"/>
                <w:szCs w:val="21"/>
              </w:rPr>
              <w:t>■会议    ■网络    ■公示   ■其他</w:t>
            </w:r>
          </w:p>
          <w:p>
            <w:pPr>
              <w:numPr>
                <w:ilvl w:val="0"/>
                <w:numId w:val="1"/>
              </w:numPr>
              <w:tabs>
                <w:tab w:val="left" w:pos="540"/>
              </w:tabs>
              <w:spacing w:line="300" w:lineRule="exact"/>
              <w:rPr>
                <w:rFonts w:ascii="宋体" w:hAnsi="宋体"/>
                <w:b/>
                <w:sz w:val="21"/>
                <w:szCs w:val="21"/>
              </w:rPr>
            </w:pPr>
            <w:r>
              <w:rPr>
                <w:rFonts w:hint="eastAsia" w:ascii="宋体" w:hAnsi="宋体"/>
                <w:b/>
                <w:sz w:val="21"/>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color w:val="000000"/>
                <w:sz w:val="20"/>
              </w:rPr>
              <w:t>在公司各职能和层次上建立了质量、环境、职业健康安全目标，并制定了相应考核办法。基本适宜公司特点。目标具有可测量性，对目标完成情况进行了考核。对制订的管理方案实施情况定期进行检查。目前目标均考核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color w:val="000000"/>
                <w:sz w:val="20"/>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color w:val="000000"/>
                <w:sz w:val="20"/>
              </w:rPr>
              <w:t>公司按照制定的文件和记录控制相关程序，对管理体系有关的文件、记录等成文信息进行有效控制，在使用处均有文件的有效版本。公司文件为手册、程序文件、作业文件三层。</w:t>
            </w:r>
          </w:p>
          <w:p>
            <w:pPr>
              <w:tabs>
                <w:tab w:val="left" w:pos="540"/>
              </w:tabs>
              <w:spacing w:line="240" w:lineRule="exact"/>
              <w:ind w:firstLine="402" w:firstLineChars="200"/>
              <w:rPr>
                <w:rFonts w:ascii="宋体" w:hAnsi="宋体"/>
                <w:b/>
                <w:sz w:val="21"/>
                <w:szCs w:val="21"/>
              </w:rPr>
            </w:pPr>
            <w:r>
              <w:rPr>
                <w:rFonts w:hint="eastAsia" w:ascii="宋体" w:hAnsi="宋体"/>
                <w:b/>
                <w:color w:val="000000"/>
                <w:sz w:val="20"/>
              </w:rPr>
              <w:t>创建和更新文件时，标识和说明、格式、评审和批准等与规定要求相符。文件的存在形式以书面文件和电子版文件为准。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8"/>
              <w:rPr>
                <w:rFonts w:ascii="宋体" w:hAnsi="宋体"/>
                <w:b/>
                <w:sz w:val="21"/>
                <w:szCs w:val="21"/>
              </w:rPr>
            </w:pPr>
            <w:r>
              <w:rPr>
                <w:rFonts w:hint="eastAsia" w:ascii="宋体" w:hAnsi="宋体"/>
                <w:b/>
                <w:sz w:val="21"/>
                <w:szCs w:val="21"/>
              </w:rPr>
              <w:t>该公司员工</w:t>
            </w:r>
            <w:r>
              <w:rPr>
                <w:rFonts w:ascii="宋体" w:hAnsi="宋体"/>
                <w:b/>
                <w:sz w:val="21"/>
                <w:szCs w:val="21"/>
              </w:rPr>
              <w:t>20</w:t>
            </w:r>
            <w:r>
              <w:rPr>
                <w:rFonts w:hint="eastAsia" w:ascii="宋体" w:hAnsi="宋体"/>
                <w:b/>
                <w:sz w:val="21"/>
                <w:szCs w:val="21"/>
              </w:rPr>
              <w:t>人，管理人员</w:t>
            </w:r>
            <w:r>
              <w:rPr>
                <w:rFonts w:ascii="宋体" w:hAnsi="宋体"/>
                <w:b/>
                <w:sz w:val="21"/>
                <w:szCs w:val="21"/>
              </w:rPr>
              <w:t>5</w:t>
            </w:r>
            <w:r>
              <w:rPr>
                <w:rFonts w:hint="eastAsia" w:ascii="宋体" w:hAnsi="宋体"/>
                <w:b/>
                <w:sz w:val="21"/>
                <w:szCs w:val="21"/>
              </w:rPr>
              <w:t>人，各工种持证人数均能满足资质要求，人力资源满足要求。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ind w:firstLine="432"/>
              <w:rPr>
                <w:rFonts w:ascii="宋体" w:hAnsi="宋体"/>
                <w:b/>
                <w:sz w:val="21"/>
                <w:szCs w:val="21"/>
              </w:rPr>
            </w:pPr>
            <w:r>
              <w:rPr>
                <w:rFonts w:hint="eastAsia" w:ascii="宋体" w:hAnsi="宋体"/>
                <w:b/>
                <w:sz w:val="21"/>
                <w:szCs w:val="21"/>
              </w:rPr>
              <w:t>办公场所建筑面积</w:t>
            </w:r>
            <w:r>
              <w:rPr>
                <w:rFonts w:ascii="宋体" w:hAnsi="宋体"/>
                <w:b/>
                <w:sz w:val="21"/>
                <w:szCs w:val="21"/>
              </w:rPr>
              <w:t>2000</w:t>
            </w:r>
            <w:r>
              <w:rPr>
                <w:rFonts w:hint="eastAsia" w:ascii="宋体" w:hAnsi="宋体"/>
                <w:b/>
                <w:sz w:val="21"/>
                <w:szCs w:val="21"/>
              </w:rPr>
              <w:t>平方左右，占地面积9</w:t>
            </w:r>
            <w:r>
              <w:rPr>
                <w:rFonts w:ascii="宋体" w:hAnsi="宋体"/>
                <w:b/>
                <w:sz w:val="21"/>
                <w:szCs w:val="21"/>
              </w:rPr>
              <w:t>0</w:t>
            </w:r>
            <w:r>
              <w:rPr>
                <w:rFonts w:hint="eastAsia" w:ascii="宋体" w:hAnsi="宋体"/>
                <w:b/>
                <w:sz w:val="21"/>
                <w:szCs w:val="21"/>
              </w:rPr>
              <w:t>亩。主要生产设备包括龙门剪、抓钢机、打包机、龙门剪、配料机、起重电磁铁、挖掘机、钢筋颗粒间断机、装载机、车辆、电脑等，特种设备：通用门式起重机</w:t>
            </w:r>
            <w:r>
              <w:rPr>
                <w:rFonts w:hint="eastAsia" w:ascii="宋体" w:hAnsi="宋体"/>
                <w:b/>
                <w:sz w:val="21"/>
                <w:szCs w:val="21"/>
                <w:lang w:eastAsia="zh-CN"/>
              </w:rPr>
              <w:t>，</w:t>
            </w:r>
            <w:r>
              <w:rPr>
                <w:rFonts w:hint="eastAsia" w:ascii="宋体" w:hAnsi="宋体"/>
                <w:b/>
                <w:sz w:val="21"/>
                <w:szCs w:val="21"/>
                <w:lang w:val="en-US" w:eastAsia="zh-CN"/>
              </w:rPr>
              <w:t>提供检测报告。</w:t>
            </w:r>
            <w:r>
              <w:rPr>
                <w:rFonts w:hint="eastAsia" w:ascii="宋体" w:hAnsi="宋体"/>
                <w:b/>
                <w:sz w:val="21"/>
                <w:szCs w:val="21"/>
              </w:rPr>
              <w:t>设备适宜。</w:t>
            </w:r>
          </w:p>
          <w:p>
            <w:pPr>
              <w:spacing w:line="240" w:lineRule="exact"/>
              <w:ind w:firstLine="432"/>
              <w:rPr>
                <w:rFonts w:ascii="宋体" w:hAnsi="宋体"/>
                <w:b/>
                <w:sz w:val="21"/>
                <w:szCs w:val="21"/>
              </w:rPr>
            </w:pPr>
            <w:r>
              <w:rPr>
                <w:rFonts w:hint="eastAsia" w:ascii="宋体" w:hAnsi="宋体"/>
                <w:b/>
                <w:sz w:val="21"/>
                <w:szCs w:val="21"/>
              </w:rPr>
              <w:t>办公设备，如电脑、打印机、复印机、公用汽车等。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施工环境有温度，风力等天气要求。</w:t>
            </w:r>
          </w:p>
          <w:p>
            <w:pPr>
              <w:spacing w:line="240" w:lineRule="exact"/>
              <w:ind w:firstLine="422" w:firstLineChars="200"/>
              <w:rPr>
                <w:rFonts w:ascii="宋体" w:hAnsi="宋体"/>
                <w:b/>
                <w:sz w:val="21"/>
                <w:szCs w:val="21"/>
              </w:rPr>
            </w:pPr>
            <w:r>
              <w:rPr>
                <w:rFonts w:hint="eastAsia" w:ascii="宋体" w:hAnsi="宋体"/>
                <w:b/>
                <w:sz w:val="21"/>
                <w:szCs w:val="21"/>
              </w:rPr>
              <w:t>办公、培训场所和内设备布置合理，通道畅通，照明设施齐全，办公室明亮，工作场所光线较充足。每月由行政部对工作环境进行定期检查。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电子汽车衡等，能够提供在有效期内检定证书，有效控制。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6" w:firstLineChars="150"/>
              <w:rPr>
                <w:rFonts w:ascii="宋体" w:hAnsi="宋体"/>
                <w:b/>
                <w:sz w:val="21"/>
                <w:szCs w:val="21"/>
              </w:rPr>
            </w:pPr>
            <w:r>
              <w:rPr>
                <w:rFonts w:hint="eastAsia" w:ascii="宋体" w:hAnsi="宋体"/>
                <w:b/>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ind w:firstLine="422" w:firstLineChars="200"/>
              <w:rPr>
                <w:rFonts w:ascii="宋体" w:hAnsi="宋体"/>
                <w:b/>
                <w:sz w:val="21"/>
                <w:szCs w:val="21"/>
              </w:rPr>
            </w:pPr>
            <w:r>
              <w:rPr>
                <w:rFonts w:hint="eastAsia" w:ascii="宋体" w:hAnsi="宋体"/>
                <w:b/>
                <w:sz w:val="21"/>
                <w:szCs w:val="21"/>
              </w:rPr>
              <w:t>公司明确组织知识作为公司的重要资源，按内部文件或外来文件予以受控管理。</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400" w:lineRule="exact"/>
              <w:ind w:firstLine="316" w:firstLineChars="150"/>
              <w:jc w:val="left"/>
              <w:rPr>
                <w:rFonts w:ascii="宋体" w:hAnsi="宋体"/>
                <w:b/>
                <w:sz w:val="21"/>
                <w:szCs w:val="21"/>
              </w:rPr>
            </w:pPr>
            <w:r>
              <w:rPr>
                <w:rFonts w:hint="eastAsia" w:ascii="宋体" w:hAnsi="宋体"/>
                <w:b/>
                <w:sz w:val="21"/>
                <w:szCs w:val="21"/>
              </w:rPr>
              <w:t>环保设施：</w:t>
            </w:r>
          </w:p>
          <w:p>
            <w:pPr>
              <w:spacing w:line="400" w:lineRule="exact"/>
              <w:ind w:firstLine="316" w:firstLineChars="150"/>
              <w:jc w:val="left"/>
              <w:rPr>
                <w:rFonts w:ascii="宋体" w:hAnsi="宋体"/>
                <w:b/>
                <w:sz w:val="21"/>
                <w:szCs w:val="21"/>
              </w:rPr>
            </w:pPr>
            <w:r>
              <w:rPr>
                <w:rFonts w:hint="eastAsia" w:ascii="宋体" w:hAnsi="宋体"/>
                <w:b/>
                <w:sz w:val="21"/>
                <w:szCs w:val="21"/>
              </w:rPr>
              <w:t xml:space="preserve">    灭火器、消火栓、垃圾桶等。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400" w:lineRule="exact"/>
              <w:ind w:firstLine="316" w:firstLineChars="150"/>
              <w:jc w:val="left"/>
              <w:rPr>
                <w:rFonts w:ascii="宋体" w:hAnsi="宋体"/>
                <w:b/>
                <w:sz w:val="21"/>
                <w:szCs w:val="21"/>
              </w:rPr>
            </w:pPr>
            <w:r>
              <w:rPr>
                <w:rFonts w:hint="eastAsia" w:ascii="宋体" w:hAnsi="宋体"/>
                <w:b/>
                <w:sz w:val="21"/>
                <w:szCs w:val="21"/>
              </w:rPr>
              <w:t>职业健康安全设施：</w:t>
            </w:r>
          </w:p>
          <w:p>
            <w:pPr>
              <w:spacing w:line="400" w:lineRule="exact"/>
              <w:ind w:firstLine="316" w:firstLineChars="150"/>
              <w:jc w:val="left"/>
              <w:rPr>
                <w:rFonts w:ascii="宋体" w:hAnsi="宋体"/>
                <w:b/>
                <w:sz w:val="21"/>
                <w:szCs w:val="21"/>
              </w:rPr>
            </w:pPr>
            <w:r>
              <w:rPr>
                <w:rFonts w:hint="eastAsia" w:ascii="宋体" w:hAnsi="宋体"/>
                <w:b/>
                <w:sz w:val="21"/>
                <w:szCs w:val="21"/>
              </w:rPr>
              <w:t xml:space="preserve">    灭火器、消火栓等。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最高管理者组织制定了方针：“科学管理，争创精品，顾客至上，持续改进；遵守法纪，环保领先，节能降耗，预防污染；以人为本，安全第一，保障健康，减少风险”。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内部沟通的情况：内部沟通方式：在公司内部主要采用电话、会议、面谈等形式就与产品质量、服务有关问题及与质量管理体系有关问题进行沟通，未发生由于沟通不到位而影响工作的情况。</w:t>
            </w:r>
          </w:p>
          <w:p>
            <w:pPr>
              <w:spacing w:line="240" w:lineRule="exact"/>
              <w:rPr>
                <w:rFonts w:ascii="宋体" w:hAnsi="宋体"/>
                <w:b/>
                <w:sz w:val="21"/>
                <w:szCs w:val="21"/>
              </w:rPr>
            </w:pPr>
            <w:r>
              <w:rPr>
                <w:rFonts w:hint="eastAsia" w:ascii="宋体" w:hAnsi="宋体"/>
                <w:b/>
                <w:sz w:val="21"/>
                <w:szCs w:val="21"/>
              </w:rPr>
              <w:t xml:space="preserve">                内部沟通的效果：良好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组织对外联络，关注顾客的感受情况（QMS）：采取顾客满意度调查方式了解顾客感受。</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外部信息的接收、成文并答复的情况（E、S填写）：对会议通知和规定等登记处理</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重要环境因素信息对外交流情况（EMS填写）：主要通过网络、交流及公开信、合同等方式进行，并达成一致性意见实施有效控制</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OHSMS事务代表协商和交流的情况（OHSMS填写）：与安全健康管理有关的法律法规，包括《劳动合同法》、《工伤保险条例》、《职业病防治法》等关于员工权益、保险等内容</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left="206" w:leftChars="42" w:hanging="105" w:hangingChars="50"/>
              <w:rPr>
                <w:rFonts w:ascii="宋体" w:hAnsi="宋体"/>
                <w:b/>
                <w:sz w:val="21"/>
                <w:szCs w:val="21"/>
              </w:rPr>
            </w:pPr>
          </w:p>
          <w:p>
            <w:pPr>
              <w:spacing w:line="240" w:lineRule="exact"/>
              <w:ind w:left="206" w:leftChars="42" w:hanging="105" w:hangingChars="50"/>
              <w:rPr>
                <w:rFonts w:ascii="宋体" w:hAnsi="宋体"/>
                <w:b/>
                <w:sz w:val="21"/>
                <w:szCs w:val="21"/>
              </w:rPr>
            </w:pP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 xml:space="preserve">：分拣等                                                       </w:t>
            </w:r>
          </w:p>
          <w:p>
            <w:pPr>
              <w:spacing w:line="240" w:lineRule="exact"/>
              <w:ind w:left="206" w:leftChars="42" w:hanging="105" w:hangingChars="50"/>
              <w:rPr>
                <w:rFonts w:ascii="宋体" w:hAnsi="宋体"/>
                <w:b/>
                <w:sz w:val="21"/>
                <w:szCs w:val="21"/>
              </w:rPr>
            </w:pPr>
            <w:r>
              <w:rPr>
                <w:rFonts w:hint="eastAsia" w:ascii="宋体" w:hAnsi="宋体"/>
                <w:b/>
                <w:sz w:val="21"/>
                <w:szCs w:val="21"/>
              </w:rPr>
              <w:t>需要确认过程：销售过程等。</w:t>
            </w:r>
          </w:p>
          <w:p>
            <w:pPr>
              <w:spacing w:line="240" w:lineRule="exact"/>
              <w:ind w:left="206" w:leftChars="42" w:hanging="105" w:hangingChars="50"/>
              <w:rPr>
                <w:rFonts w:ascii="宋体" w:hAnsi="宋体"/>
                <w:b/>
                <w:sz w:val="21"/>
                <w:szCs w:val="21"/>
              </w:rPr>
            </w:pPr>
            <w:r>
              <w:rPr>
                <w:rFonts w:hint="eastAsia" w:ascii="宋体" w:hAnsi="宋体"/>
                <w:b/>
                <w:sz w:val="21"/>
                <w:szCs w:val="21"/>
              </w:rPr>
              <w:t>制定作业指导书</w:t>
            </w:r>
          </w:p>
          <w:p>
            <w:pPr>
              <w:spacing w:line="240" w:lineRule="exact"/>
              <w:ind w:left="206" w:leftChars="42" w:hanging="105" w:hangingChars="50"/>
              <w:rPr>
                <w:rFonts w:ascii="宋体" w:hAnsi="宋体"/>
                <w:b/>
                <w:sz w:val="21"/>
                <w:szCs w:val="21"/>
              </w:rPr>
            </w:pPr>
            <w:r>
              <w:rPr>
                <w:rFonts w:hint="eastAsia" w:ascii="宋体" w:hAnsi="宋体"/>
                <w:b/>
                <w:sz w:val="21"/>
                <w:szCs w:val="21"/>
              </w:rPr>
              <w:t>特殊过程进行确认，关键过程及特殊过程控制有效。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ind w:firstLine="422" w:firstLineChars="200"/>
              <w:rPr>
                <w:rFonts w:ascii="宋体" w:hAnsi="宋体"/>
                <w:b/>
                <w:sz w:val="21"/>
                <w:szCs w:val="21"/>
              </w:rPr>
            </w:pPr>
            <w:r>
              <w:rPr>
                <w:rFonts w:hint="eastAsia" w:ascii="宋体" w:hAnsi="宋体"/>
                <w:b/>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r>
              <w:rPr>
                <w:rFonts w:hint="eastAsia" w:ascii="宋体" w:hAnsi="宋体"/>
                <w:b/>
                <w:sz w:val="21"/>
                <w:szCs w:val="21"/>
              </w:rPr>
              <w:t>无</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建筑工程有监理通知，已经按照要求在规定时间内整改，符合要求。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组织重要环境因素为噪声的排放、粉尘排放、固废的排物、火灾爆炸、能源消耗等，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潜在火灾等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p>
            <w:pPr>
              <w:spacing w:line="240" w:lineRule="exact"/>
              <w:rPr>
                <w:rFonts w:ascii="宋体" w:hAnsi="宋体"/>
                <w:b/>
                <w:sz w:val="21"/>
                <w:szCs w:val="21"/>
              </w:rPr>
            </w:pPr>
          </w:p>
          <w:p>
            <w:pPr>
              <w:tabs>
                <w:tab w:val="left" w:pos="2552"/>
              </w:tabs>
              <w:spacing w:line="360" w:lineRule="exact"/>
              <w:ind w:firstLine="422" w:firstLineChars="200"/>
              <w:rPr>
                <w:rFonts w:ascii="宋体" w:hAnsi="宋体"/>
                <w:b/>
                <w:sz w:val="21"/>
                <w:szCs w:val="21"/>
              </w:rPr>
            </w:pPr>
            <w:r>
              <w:rPr>
                <w:rFonts w:hint="eastAsia" w:ascii="宋体" w:hAnsi="宋体"/>
                <w:b/>
                <w:sz w:val="21"/>
                <w:szCs w:val="21"/>
              </w:rPr>
              <w:t>组织建立了危险源识别、评价控制程序，识别评价了危险源、风险相关的过程，评价出了重要危险源，与之相关的过程有服务、信息处理过程，针对不可接受风险制定了管理方案。控制措施实施有效。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p>
          <w:p>
            <w:pPr>
              <w:spacing w:line="240" w:lineRule="exact"/>
              <w:ind w:firstLine="422" w:firstLineChars="200"/>
              <w:rPr>
                <w:rFonts w:ascii="宋体" w:hAnsi="宋体"/>
                <w:b/>
                <w:sz w:val="21"/>
                <w:szCs w:val="21"/>
              </w:rPr>
            </w:pPr>
            <w:r>
              <w:rPr>
                <w:rFonts w:hint="eastAsia" w:ascii="宋体" w:hAnsi="宋体"/>
                <w:b/>
                <w:sz w:val="21"/>
                <w:szCs w:val="21"/>
              </w:rPr>
              <w:t>组织识别了紧急情况，应急准备和响应为潜在火灾，识别合理、有效。编制有应急预案，并组织了演练，并对应急预案进行了评价。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r>
              <w:rPr>
                <w:rFonts w:hint="eastAsia" w:ascii="宋体" w:hAnsi="宋体"/>
                <w:b/>
                <w:sz w:val="21"/>
                <w:szCs w:val="21"/>
              </w:rPr>
              <w:t>通用门式起重机特种设备管理有效。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p>
          <w:p>
            <w:pPr>
              <w:spacing w:line="240" w:lineRule="exact"/>
              <w:ind w:firstLine="105" w:firstLineChars="50"/>
              <w:rPr>
                <w:rFonts w:ascii="宋体" w:hAnsi="宋体"/>
                <w:b/>
                <w:sz w:val="21"/>
                <w:szCs w:val="21"/>
              </w:rPr>
            </w:pPr>
            <w:r>
              <w:rPr>
                <w:rFonts w:ascii="宋体" w:hAnsi="宋体"/>
                <w:b/>
                <w:sz w:val="21"/>
                <w:szCs w:val="21"/>
              </w:rPr>
              <w:t xml:space="preserve">   </w:t>
            </w:r>
            <w:r>
              <w:rPr>
                <w:rFonts w:hint="eastAsia" w:ascii="宋体" w:hAnsi="宋体"/>
                <w:b/>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b/>
                <w:sz w:val="21"/>
                <w:szCs w:val="21"/>
                <w:lang w:val="en-US" w:eastAsia="zh-CN"/>
              </w:rPr>
              <w:t>20</w:t>
            </w:r>
            <w:r>
              <w:rPr>
                <w:rFonts w:hint="eastAsia" w:ascii="宋体" w:hAnsi="宋体"/>
                <w:b/>
                <w:sz w:val="21"/>
                <w:szCs w:val="21"/>
              </w:rPr>
              <w:t>年1-</w:t>
            </w:r>
            <w:r>
              <w:rPr>
                <w:rFonts w:hint="eastAsia" w:ascii="宋体" w:hAnsi="宋体"/>
                <w:b/>
                <w:sz w:val="21"/>
                <w:szCs w:val="21"/>
                <w:lang w:val="en-US" w:eastAsia="zh-CN"/>
              </w:rPr>
              <w:t>12</w:t>
            </w:r>
            <w:r>
              <w:rPr>
                <w:rFonts w:hint="eastAsia" w:ascii="宋体" w:hAnsi="宋体"/>
                <w:b/>
                <w:sz w:val="21"/>
                <w:szCs w:val="21"/>
              </w:rPr>
              <w:t xml:space="preserve">月目标的测量，总体已达到或超过了规定的目标值。 </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p>
            <w:pPr>
              <w:spacing w:line="240" w:lineRule="exact"/>
              <w:ind w:left="105" w:hanging="105" w:hangingChars="50"/>
              <w:rPr>
                <w:rFonts w:ascii="宋体" w:hAnsi="宋体"/>
                <w:b/>
                <w:sz w:val="21"/>
                <w:szCs w:val="21"/>
              </w:rPr>
            </w:pPr>
          </w:p>
          <w:p>
            <w:pPr>
              <w:spacing w:line="240" w:lineRule="exact"/>
              <w:ind w:left="105" w:firstLine="211" w:firstLineChars="100"/>
              <w:rPr>
                <w:rFonts w:ascii="宋体" w:hAnsi="宋体"/>
                <w:b/>
                <w:sz w:val="21"/>
                <w:szCs w:val="21"/>
              </w:rPr>
            </w:pPr>
            <w:r>
              <w:rPr>
                <w:rFonts w:hint="eastAsia" w:ascii="宋体" w:hAnsi="宋体"/>
                <w:b/>
                <w:sz w:val="21"/>
                <w:szCs w:val="21"/>
              </w:rPr>
              <w:t>公司建立了顾客满意度监视和测量控制程序，对顾客投诉处理及顾客满意度评价做了明确的规</w:t>
            </w:r>
          </w:p>
          <w:p>
            <w:pPr>
              <w:spacing w:line="240" w:lineRule="exact"/>
              <w:rPr>
                <w:rFonts w:ascii="宋体" w:hAnsi="宋体"/>
                <w:b/>
                <w:sz w:val="21"/>
                <w:szCs w:val="21"/>
              </w:rPr>
            </w:pPr>
            <w:r>
              <w:rPr>
                <w:rFonts w:hint="eastAsia" w:ascii="宋体" w:hAnsi="宋体"/>
                <w:b/>
                <w:sz w:val="21"/>
                <w:szCs w:val="21"/>
              </w:rPr>
              <w:t>定，并按规定对顾客反馈及时处理。近年来未发生重大顾客投诉和产品质量事故。顾客满意度调查按规定实施，20</w:t>
            </w:r>
            <w:r>
              <w:rPr>
                <w:rFonts w:hint="eastAsia" w:ascii="宋体" w:hAnsi="宋体"/>
                <w:b/>
                <w:sz w:val="21"/>
                <w:szCs w:val="21"/>
                <w:lang w:val="en-US" w:eastAsia="zh-CN"/>
              </w:rPr>
              <w:t>20</w:t>
            </w:r>
            <w:r>
              <w:rPr>
                <w:rFonts w:hint="eastAsia" w:ascii="宋体" w:hAnsi="宋体"/>
                <w:b/>
                <w:sz w:val="21"/>
                <w:szCs w:val="21"/>
              </w:rPr>
              <w:t>年1</w:t>
            </w:r>
            <w:r>
              <w:rPr>
                <w:rFonts w:ascii="宋体" w:hAnsi="宋体"/>
                <w:b/>
                <w:sz w:val="21"/>
                <w:szCs w:val="21"/>
              </w:rPr>
              <w:t>0</w:t>
            </w:r>
            <w:r>
              <w:rPr>
                <w:rFonts w:hint="eastAsia" w:ascii="宋体" w:hAnsi="宋体"/>
                <w:b/>
                <w:sz w:val="21"/>
                <w:szCs w:val="21"/>
              </w:rPr>
              <w:t>月实施，满意度评价9</w:t>
            </w:r>
            <w:r>
              <w:rPr>
                <w:rFonts w:hint="eastAsia" w:ascii="宋体" w:hAnsi="宋体"/>
                <w:b/>
                <w:sz w:val="21"/>
                <w:szCs w:val="21"/>
                <w:lang w:val="en-US" w:eastAsia="zh-CN"/>
              </w:rPr>
              <w:t>8</w:t>
            </w:r>
            <w:r>
              <w:rPr>
                <w:rFonts w:hint="eastAsia" w:ascii="宋体" w:hAnsi="宋体"/>
                <w:b/>
                <w:sz w:val="21"/>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建立有《内部审核控制程序》，规定了内审频次一年一次，内审时间：20</w:t>
            </w:r>
            <w:r>
              <w:rPr>
                <w:rFonts w:hint="eastAsia" w:ascii="宋体" w:hAnsi="宋体"/>
                <w:b/>
                <w:sz w:val="21"/>
                <w:szCs w:val="21"/>
                <w:lang w:val="en-US" w:eastAsia="zh-CN"/>
              </w:rPr>
              <w:t>20</w:t>
            </w:r>
            <w:r>
              <w:rPr>
                <w:rFonts w:hint="eastAsia" w:ascii="宋体" w:hAnsi="宋体"/>
                <w:b/>
                <w:sz w:val="21"/>
                <w:szCs w:val="21"/>
              </w:rPr>
              <w:t>年</w:t>
            </w:r>
            <w:r>
              <w:rPr>
                <w:rFonts w:ascii="宋体" w:hAnsi="宋体"/>
                <w:b/>
                <w:sz w:val="21"/>
                <w:szCs w:val="21"/>
              </w:rPr>
              <w:t>1</w:t>
            </w:r>
            <w:r>
              <w:rPr>
                <w:rFonts w:hint="eastAsia" w:ascii="宋体" w:hAnsi="宋体"/>
                <w:b/>
                <w:sz w:val="21"/>
                <w:szCs w:val="21"/>
                <w:lang w:val="en-US" w:eastAsia="zh-CN"/>
              </w:rPr>
              <w:t>2</w:t>
            </w:r>
            <w:r>
              <w:rPr>
                <w:rFonts w:hint="eastAsia" w:ascii="宋体" w:hAnsi="宋体"/>
                <w:b/>
                <w:sz w:val="21"/>
                <w:szCs w:val="21"/>
              </w:rPr>
              <w:t>月</w:t>
            </w:r>
            <w:r>
              <w:rPr>
                <w:rFonts w:ascii="宋体" w:hAnsi="宋体"/>
                <w:b/>
                <w:sz w:val="21"/>
                <w:szCs w:val="21"/>
              </w:rPr>
              <w:t>27</w:t>
            </w:r>
            <w:r>
              <w:rPr>
                <w:rFonts w:hint="eastAsia" w:ascii="宋体" w:hAnsi="宋体"/>
                <w:b/>
                <w:sz w:val="21"/>
                <w:szCs w:val="21"/>
              </w:rPr>
              <w:t>-</w:t>
            </w:r>
            <w:r>
              <w:rPr>
                <w:rFonts w:ascii="宋体" w:hAnsi="宋体"/>
                <w:b/>
                <w:sz w:val="21"/>
                <w:szCs w:val="21"/>
              </w:rPr>
              <w:t>2</w:t>
            </w:r>
            <w:r>
              <w:rPr>
                <w:rFonts w:hint="eastAsia" w:ascii="宋体" w:hAnsi="宋体"/>
                <w:b/>
                <w:sz w:val="21"/>
                <w:szCs w:val="21"/>
                <w:lang w:val="en-US" w:eastAsia="zh-CN"/>
              </w:rPr>
              <w:t>9</w:t>
            </w:r>
            <w:r>
              <w:rPr>
                <w:rFonts w:hint="eastAsia" w:ascii="宋体" w:hAnsi="宋体"/>
                <w:b/>
                <w:sz w:val="21"/>
                <w:szCs w:val="21"/>
              </w:rPr>
              <w:t>日，拟定了审核实施表，明确了内审范围，内审人员经培训合格上岗，能力满足要求，未出现审核本部门情况.内审不符合项1项，涉及行政部“行政部员工不清楚公司的管理目标和方针”，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管理评审频次为一年一次、本次管理评审于20</w:t>
            </w:r>
            <w:r>
              <w:rPr>
                <w:rFonts w:hint="eastAsia" w:ascii="宋体" w:hAnsi="宋体"/>
                <w:b/>
                <w:sz w:val="21"/>
                <w:szCs w:val="21"/>
                <w:lang w:val="en-US" w:eastAsia="zh-CN"/>
              </w:rPr>
              <w:t>20</w:t>
            </w:r>
            <w:r>
              <w:rPr>
                <w:rFonts w:hint="eastAsia" w:ascii="宋体" w:hAnsi="宋体"/>
                <w:b/>
                <w:sz w:val="21"/>
                <w:szCs w:val="21"/>
              </w:rPr>
              <w:t>年</w:t>
            </w:r>
            <w:r>
              <w:rPr>
                <w:rFonts w:ascii="宋体" w:hAnsi="宋体"/>
                <w:b/>
                <w:sz w:val="21"/>
                <w:szCs w:val="21"/>
              </w:rPr>
              <w:t>1</w:t>
            </w:r>
            <w:r>
              <w:rPr>
                <w:rFonts w:hint="eastAsia" w:ascii="宋体" w:hAnsi="宋体"/>
                <w:b/>
                <w:sz w:val="21"/>
                <w:szCs w:val="21"/>
                <w:lang w:val="en-US" w:eastAsia="zh-CN"/>
              </w:rPr>
              <w:t>2</w:t>
            </w:r>
            <w:r>
              <w:rPr>
                <w:rFonts w:hint="eastAsia" w:ascii="宋体" w:hAnsi="宋体"/>
                <w:b/>
                <w:sz w:val="21"/>
                <w:szCs w:val="21"/>
              </w:rPr>
              <w:t>月</w:t>
            </w:r>
            <w:r>
              <w:rPr>
                <w:rFonts w:hint="eastAsia" w:ascii="宋体" w:hAnsi="宋体"/>
                <w:b/>
                <w:sz w:val="21"/>
                <w:szCs w:val="21"/>
                <w:lang w:val="en-US" w:eastAsia="zh-CN"/>
              </w:rPr>
              <w:t>25</w:t>
            </w:r>
            <w:r>
              <w:rPr>
                <w:rFonts w:hint="eastAsia" w:ascii="宋体" w:hAnsi="宋体"/>
                <w:b/>
                <w:sz w:val="21"/>
                <w:szCs w:val="21"/>
              </w:rPr>
              <w:t>日由总经理主持完成、提供主要输入材料有各部门总结，输入信息基本充分和满足要求。输出见“管理评审报告”,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对火灾爆炸、废气、噪声、固废、能源消耗等进行自查，结果满足相关要求。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p>
          <w:p>
            <w:pPr>
              <w:spacing w:line="240" w:lineRule="exact"/>
              <w:ind w:firstLine="422" w:firstLineChars="200"/>
              <w:rPr>
                <w:rFonts w:ascii="宋体" w:hAnsi="宋体"/>
                <w:b/>
                <w:sz w:val="21"/>
                <w:szCs w:val="21"/>
              </w:rPr>
            </w:pPr>
            <w:r>
              <w:rPr>
                <w:rFonts w:hint="eastAsia" w:ascii="宋体" w:hAnsi="宋体"/>
                <w:b/>
                <w:sz w:val="21"/>
                <w:szCs w:val="21"/>
              </w:rPr>
              <w:t>噪声排放、废水、废气监测，结果达标排放。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进行定期自查，结果满足相关要求。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暂时无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公司明确通过对内、外部审核结果、管理评审输出、监理通知、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纠正措施有效。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ascii="宋体" w:hAnsi="宋体"/>
          <w:b/>
          <w:spacing w:val="-10"/>
          <w:szCs w:val="21"/>
        </w:rPr>
        <w:t>■</w:t>
      </w:r>
      <w:r>
        <w:rPr>
          <w:rFonts w:hint="eastAsia" w:ascii="宋体" w:hAnsi="宋体"/>
          <w:b/>
          <w:szCs w:val="21"/>
        </w:rPr>
        <w:t>达到审核目的</w:t>
      </w:r>
      <w:r>
        <w:rPr>
          <w:rFonts w:ascii="宋体" w:hAnsi="宋体"/>
          <w:b/>
          <w:szCs w:val="21"/>
        </w:rPr>
        <w:t xml:space="preserve"> </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hint="eastAsia" w:ascii="宋体" w:hAnsi="宋体"/>
          <w:b/>
          <w:szCs w:val="21"/>
        </w:rPr>
      </w:pPr>
      <w:r>
        <w:rPr>
          <w:rFonts w:hint="eastAsia" w:ascii="宋体" w:hAnsi="宋体"/>
          <w:b/>
          <w:szCs w:val="21"/>
        </w:rPr>
        <w:t>本次审核共开具不符合项报告</w:t>
      </w:r>
      <w:r>
        <w:rPr>
          <w:rFonts w:ascii="宋体" w:hAnsi="宋体"/>
          <w:b/>
          <w:szCs w:val="21"/>
        </w:rPr>
        <w:t>1</w:t>
      </w:r>
      <w:r>
        <w:rPr>
          <w:rFonts w:hint="eastAsia" w:ascii="宋体" w:hAnsi="宋体"/>
          <w:b/>
          <w:szCs w:val="21"/>
        </w:rPr>
        <w:t>项；其中</w:t>
      </w:r>
      <w:r>
        <w:rPr>
          <w:rFonts w:ascii="宋体" w:hAnsi="宋体"/>
          <w:b/>
          <w:szCs w:val="21"/>
        </w:rPr>
        <w:pict>
          <v:line id="直接连接符 1" o:spid="_x0000_s1032"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ascii="宋体" w:hAnsi="宋体"/>
          <w:b/>
          <w:szCs w:val="21"/>
        </w:rPr>
        <w:t>0</w:t>
      </w:r>
      <w:r>
        <w:rPr>
          <w:rFonts w:hint="eastAsia" w:ascii="宋体" w:hAnsi="宋体"/>
          <w:b/>
          <w:szCs w:val="21"/>
        </w:rPr>
        <w:t>项，一般不符合</w:t>
      </w:r>
      <w:r>
        <w:rPr>
          <w:rFonts w:ascii="宋体" w:hAnsi="宋体"/>
          <w:b/>
          <w:szCs w:val="21"/>
        </w:rPr>
        <w:t>1</w:t>
      </w:r>
      <w:r>
        <w:rPr>
          <w:rFonts w:hint="eastAsia" w:ascii="宋体" w:hAnsi="宋体"/>
          <w:b/>
          <w:szCs w:val="21"/>
        </w:rPr>
        <w:t>项，观察项2</w:t>
      </w:r>
      <w:r>
        <w:rPr>
          <w:rFonts w:ascii="宋体" w:hAnsi="宋体"/>
          <w:b/>
          <w:szCs w:val="21"/>
        </w:rPr>
        <w:t xml:space="preserve">       </w:t>
      </w:r>
      <w:r>
        <w:rPr>
          <w:rFonts w:hint="eastAsia" w:ascii="宋体" w:hAnsi="宋体"/>
          <w:b/>
          <w:szCs w:val="21"/>
        </w:rPr>
        <w:t>项分布在生产部</w:t>
      </w:r>
      <w:r>
        <w:rPr>
          <w:rFonts w:hint="eastAsia" w:ascii="宋体" w:hAnsi="宋体"/>
          <w:b/>
          <w:szCs w:val="21"/>
          <w:lang w:val="en-US" w:eastAsia="zh-CN"/>
        </w:rPr>
        <w:t>Q8.6</w:t>
      </w:r>
      <w:r>
        <w:rPr>
          <w:rFonts w:hint="eastAsia" w:ascii="宋体" w:hAnsi="宋体"/>
          <w:b/>
          <w:szCs w:val="21"/>
        </w:rPr>
        <w:t>E</w:t>
      </w:r>
      <w:r>
        <w:rPr>
          <w:rFonts w:ascii="宋体" w:hAnsi="宋体"/>
          <w:b/>
          <w:szCs w:val="21"/>
        </w:rPr>
        <w:t xml:space="preserve">O </w:t>
      </w:r>
      <w:r>
        <w:rPr>
          <w:rFonts w:hint="eastAsia" w:ascii="宋体" w:hAnsi="宋体"/>
          <w:b/>
          <w:szCs w:val="21"/>
          <w:lang w:val="en-US" w:eastAsia="zh-CN"/>
        </w:rPr>
        <w:t>5</w:t>
      </w:r>
      <w:r>
        <w:rPr>
          <w:rFonts w:ascii="宋体" w:hAnsi="宋体"/>
          <w:b/>
          <w:szCs w:val="21"/>
        </w:rPr>
        <w:t>.</w:t>
      </w:r>
      <w:r>
        <w:rPr>
          <w:rFonts w:hint="eastAsia" w:ascii="宋体" w:hAnsi="宋体"/>
          <w:b/>
          <w:szCs w:val="21"/>
          <w:lang w:val="en-US" w:eastAsia="zh-CN"/>
        </w:rPr>
        <w:t>3</w:t>
      </w:r>
      <w:r>
        <w:rPr>
          <w:rFonts w:hint="eastAsia" w:ascii="宋体" w:hAnsi="宋体"/>
          <w:b/>
          <w:szCs w:val="21"/>
        </w:rPr>
        <w:t>条款，见不符合项分布表。（</w:t>
      </w:r>
      <w:r>
        <w:rPr>
          <w:rFonts w:ascii="宋体" w:hAnsi="宋体"/>
          <w:b/>
          <w:szCs w:val="21"/>
        </w:rPr>
        <w:t>Q/J/E/S</w:t>
      </w:r>
      <w:r>
        <w:rPr>
          <w:rFonts w:hint="eastAsia" w:ascii="宋体" w:hAnsi="宋体"/>
          <w:b/>
          <w:szCs w:val="21"/>
        </w:rPr>
        <w:t>分开填写）</w:t>
      </w:r>
    </w:p>
    <w:p>
      <w:pPr>
        <w:spacing w:line="400" w:lineRule="exact"/>
        <w:ind w:left="420" w:leftChars="175" w:firstLine="101" w:firstLineChars="42"/>
        <w:rPr>
          <w:rFonts w:hint="eastAsia" w:ascii="宋体" w:hAnsi="宋体"/>
          <w:b/>
          <w:szCs w:val="21"/>
        </w:rPr>
      </w:pP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  </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482" w:firstLineChars="200"/>
              <w:rPr>
                <w:rFonts w:ascii="宋体" w:hAnsi="宋体"/>
                <w:b/>
                <w:szCs w:val="21"/>
              </w:rPr>
            </w:pPr>
            <w:r>
              <w:rPr>
                <w:rFonts w:hint="eastAsia" w:ascii="宋体" w:hAnsi="宋体"/>
                <w:b/>
                <w:szCs w:val="21"/>
              </w:rPr>
              <w:t>管理体系的适宜性、充分性、运行有效性，自我完善机制等，管理体系满足适用要求和实现预期结果的能力。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482" w:firstLineChars="200"/>
              <w:rPr>
                <w:rFonts w:ascii="宋体" w:hAnsi="宋体"/>
                <w:b/>
                <w:szCs w:val="21"/>
              </w:rPr>
            </w:pPr>
            <w:r>
              <w:rPr>
                <w:rFonts w:ascii="宋体" w:hAnsi="宋体"/>
                <w:b/>
                <w:szCs w:val="21"/>
              </w:rPr>
              <w:t xml:space="preserve"> </w:t>
            </w:r>
            <w:r>
              <w:rPr>
                <w:rFonts w:hint="eastAsia"/>
                <w:b/>
                <w:color w:val="000000"/>
                <w:sz w:val="22"/>
                <w:szCs w:val="22"/>
              </w:rPr>
              <w:t>该公司建立并实施的质量、环境、职业健康安全管理体系基本符合标准要求，工程建设施工企业质量管理规范和职业健康安全 要求转版后，对可能存在的重要风险基本可以得到有效控制，服务质量稳定，没有出现过质量、环境和职业健康安全事故以及顾客投诉等事件，该公司建立的自我完善和自我改进机制，管理体系运行基本有效。现场开具的</w:t>
            </w:r>
            <w:r>
              <w:rPr>
                <w:b/>
                <w:color w:val="000000"/>
                <w:sz w:val="22"/>
                <w:szCs w:val="22"/>
              </w:rPr>
              <w:t>1</w:t>
            </w:r>
            <w:r>
              <w:rPr>
                <w:rFonts w:hint="eastAsia"/>
                <w:b/>
                <w:color w:val="000000"/>
                <w:sz w:val="22"/>
                <w:szCs w:val="22"/>
              </w:rPr>
              <w:t>项一般不符合在规定的期限内采取纠正措施并经审核组书面验证有效，同意推荐该公司质量、环境和职业健康安全管理体系保持认证注册。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A3"/>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 </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sym w:font="Wingdings 2" w:char="00A3"/>
            </w: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    </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 xml:space="preserve">  </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    </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eastAsia="zh-CN"/>
        </w:rPr>
      </w:pPr>
      <w:r>
        <w:rPr>
          <w:rFonts w:hint="eastAsia"/>
          <w:b/>
          <w:sz w:val="26"/>
          <w:szCs w:val="26"/>
        </w:rPr>
        <w:t>十一、</w:t>
      </w:r>
      <w:r>
        <w:rPr>
          <w:rFonts w:ascii="仿宋" w:hAnsi="仿宋" w:eastAsia="仿宋"/>
          <w:kern w:val="24"/>
          <w:sz w:val="28"/>
          <w:szCs w:val="28"/>
        </w:rPr>
        <w:t xml:space="preserve"> </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bookmarkStart w:id="26" w:name="_GoBack"/>
      <w:bookmarkEnd w:id="26"/>
    </w:p>
    <w:p>
      <w:pPr>
        <w:tabs>
          <w:tab w:val="left" w:pos="645"/>
        </w:tabs>
        <w:spacing w:after="163" w:afterLines="50" w:line="360" w:lineRule="exact"/>
        <w:rPr>
          <w:b/>
          <w:sz w:val="16"/>
          <w:szCs w:val="16"/>
        </w:rPr>
      </w:pPr>
      <w:r>
        <w:rPr>
          <w:sz w:val="21"/>
          <w:szCs w:val="21"/>
        </w:rPr>
        <w:drawing>
          <wp:anchor distT="0" distB="0" distL="114300" distR="114300" simplePos="0" relativeHeight="251667456" behindDoc="0" locked="0" layoutInCell="1" allowOverlap="1">
            <wp:simplePos x="0" y="0"/>
            <wp:positionH relativeFrom="column">
              <wp:posOffset>1811020</wp:posOffset>
            </wp:positionH>
            <wp:positionV relativeFrom="paragraph">
              <wp:posOffset>256540</wp:posOffset>
            </wp:positionV>
            <wp:extent cx="551815" cy="293370"/>
            <wp:effectExtent l="0" t="0" r="635" b="11430"/>
            <wp:wrapNone/>
            <wp:docPr id="2"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新文档 2019-04-09 16.49.33"/>
                    <pic:cNvPicPr>
                      <a:picLocks noChangeAspect="1"/>
                    </pic:cNvPicPr>
                  </pic:nvPicPr>
                  <pic:blipFill>
                    <a:blip r:embed="rId6"/>
                    <a:stretch>
                      <a:fillRect/>
                    </a:stretch>
                  </pic:blipFill>
                  <pic:spPr>
                    <a:xfrm>
                      <a:off x="0" y="0"/>
                      <a:ext cx="551815" cy="29337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eastAsia="宋体"/>
          <w:b/>
          <w:sz w:val="21"/>
          <w:lang w:eastAsia="zh-CN"/>
        </w:rPr>
        <w:drawing>
          <wp:anchor distT="0" distB="0" distL="114300" distR="114300" simplePos="0" relativeHeight="251683840" behindDoc="0" locked="0" layoutInCell="1" allowOverlap="1">
            <wp:simplePos x="0" y="0"/>
            <wp:positionH relativeFrom="column">
              <wp:posOffset>1994535</wp:posOffset>
            </wp:positionH>
            <wp:positionV relativeFrom="paragraph">
              <wp:posOffset>191135</wp:posOffset>
            </wp:positionV>
            <wp:extent cx="586740" cy="337820"/>
            <wp:effectExtent l="0" t="0" r="3810" b="5080"/>
            <wp:wrapNone/>
            <wp:docPr id="4" name="图片 4" descr="b5dba62d5570f4b19f116cd03f5a6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5dba62d5570f4b19f116cd03f5a6be"/>
                    <pic:cNvPicPr>
                      <a:picLocks noChangeAspect="1"/>
                    </pic:cNvPicPr>
                  </pic:nvPicPr>
                  <pic:blipFill>
                    <a:blip r:embed="rId7"/>
                    <a:stretch>
                      <a:fillRect/>
                    </a:stretch>
                  </pic:blipFill>
                  <pic:spPr>
                    <a:xfrm>
                      <a:off x="0" y="0"/>
                      <a:ext cx="586740" cy="337820"/>
                    </a:xfrm>
                    <a:prstGeom prst="rect">
                      <a:avLst/>
                    </a:prstGeom>
                  </pic:spPr>
                </pic:pic>
              </a:graphicData>
            </a:graphic>
          </wp:anchor>
        </w:drawing>
      </w:r>
      <w:r>
        <w:rPr>
          <w:rFonts w:hint="eastAsia"/>
          <w:b/>
          <w:sz w:val="21"/>
        </w:rPr>
        <w:t xml:space="preserve">审核组组长（签名）： </w:t>
      </w:r>
    </w:p>
    <w:p>
      <w:pPr>
        <w:snapToGrid w:val="0"/>
        <w:spacing w:before="163" w:beforeLines="50" w:line="320" w:lineRule="exact"/>
        <w:ind w:firstLine="653" w:firstLineChars="250"/>
        <w:rPr>
          <w:b/>
          <w:sz w:val="21"/>
        </w:rPr>
      </w:pPr>
      <w:r>
        <w:rPr>
          <w:rFonts w:hint="eastAsia" w:eastAsia="宋体"/>
          <w:b/>
          <w:color w:val="FF0000"/>
          <w:sz w:val="26"/>
          <w:szCs w:val="26"/>
          <w:lang w:eastAsia="zh-CN"/>
        </w:rPr>
        <w:drawing>
          <wp:anchor distT="0" distB="0" distL="114300" distR="114300" simplePos="0" relativeHeight="251685888" behindDoc="0" locked="0" layoutInCell="1" allowOverlap="1">
            <wp:simplePos x="0" y="0"/>
            <wp:positionH relativeFrom="column">
              <wp:posOffset>3204210</wp:posOffset>
            </wp:positionH>
            <wp:positionV relativeFrom="paragraph">
              <wp:posOffset>-278765</wp:posOffset>
            </wp:positionV>
            <wp:extent cx="416560" cy="833755"/>
            <wp:effectExtent l="0" t="0" r="4445" b="2540"/>
            <wp:wrapNone/>
            <wp:docPr id="6" name="图片 6" descr="6885d1a5feb9761009bf8ad7a06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885d1a5feb9761009bf8ad7a063291"/>
                    <pic:cNvPicPr>
                      <a:picLocks noChangeAspect="1"/>
                    </pic:cNvPicPr>
                  </pic:nvPicPr>
                  <pic:blipFill>
                    <a:blip r:embed="rId8"/>
                    <a:stretch>
                      <a:fillRect/>
                    </a:stretch>
                  </pic:blipFill>
                  <pic:spPr>
                    <a:xfrm rot="16200000">
                      <a:off x="0" y="0"/>
                      <a:ext cx="416560" cy="833755"/>
                    </a:xfrm>
                    <a:prstGeom prst="rect">
                      <a:avLst/>
                    </a:prstGeom>
                  </pic:spPr>
                </pic:pic>
              </a:graphicData>
            </a:graphic>
          </wp:anchor>
        </w:drawing>
      </w:r>
      <w:r>
        <w:rPr>
          <w:rFonts w:hint="eastAsia"/>
          <w:b/>
          <w:sz w:val="21"/>
        </w:rPr>
        <w:t xml:space="preserve">审核组组员（签名）： </w:t>
      </w:r>
    </w:p>
    <w:p>
      <w:pPr>
        <w:snapToGrid w:val="0"/>
        <w:spacing w:line="280" w:lineRule="exact"/>
        <w:ind w:firstLine="6325" w:firstLineChars="3000"/>
        <w:rPr>
          <w:b/>
          <w:sz w:val="21"/>
        </w:rPr>
      </w:pPr>
      <w:r>
        <w:rPr>
          <w:rFonts w:hint="eastAsia"/>
          <w:b/>
          <w:sz w:val="21"/>
        </w:rPr>
        <w:t>日期：2</w:t>
      </w:r>
      <w:r>
        <w:rPr>
          <w:b/>
          <w:sz w:val="21"/>
        </w:rPr>
        <w:t>0</w:t>
      </w:r>
      <w:r>
        <w:rPr>
          <w:rFonts w:hint="eastAsia"/>
          <w:b/>
          <w:sz w:val="21"/>
          <w:lang w:val="en-US" w:eastAsia="zh-CN"/>
        </w:rPr>
        <w:t>21</w:t>
      </w:r>
      <w:r>
        <w:rPr>
          <w:rFonts w:hint="eastAsia"/>
          <w:b/>
          <w:sz w:val="21"/>
        </w:rPr>
        <w:t>年</w:t>
      </w:r>
      <w:r>
        <w:rPr>
          <w:b/>
          <w:sz w:val="21"/>
        </w:rPr>
        <w:t>1</w:t>
      </w:r>
      <w:r>
        <w:rPr>
          <w:rFonts w:hint="eastAsia"/>
          <w:b/>
          <w:sz w:val="21"/>
        </w:rPr>
        <w:t>月</w:t>
      </w:r>
      <w:r>
        <w:rPr>
          <w:rFonts w:hint="eastAsia"/>
          <w:b/>
          <w:sz w:val="21"/>
          <w:lang w:val="en-US" w:eastAsia="zh-CN"/>
        </w:rPr>
        <w:t>10</w:t>
      </w:r>
      <w:r>
        <w:rPr>
          <w:rFonts w:hint="eastAsia"/>
          <w:b/>
          <w:sz w:val="21"/>
        </w:rPr>
        <w:t>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sz w:val="21"/>
          <w:szCs w:val="21"/>
        </w:rPr>
      </w:pPr>
      <w:r>
        <w:rPr>
          <w:b/>
          <w:bCs/>
          <w:sz w:val="21"/>
          <w:szCs w:val="21"/>
        </w:rPr>
        <w:t xml:space="preserve">1. </w:t>
      </w:r>
      <w:r>
        <w:rPr>
          <w:rFonts w:hint="eastAsia"/>
          <w:b/>
          <w:bCs/>
          <w:sz w:val="21"/>
          <w:szCs w:val="21"/>
        </w:rPr>
        <w:t>审核中发现的</w:t>
      </w:r>
      <w:r>
        <w:rPr>
          <w:rFonts w:hint="eastAsia"/>
          <w:b/>
          <w:sz w:val="21"/>
          <w:szCs w:val="21"/>
        </w:rPr>
        <w:t>□</w:t>
      </w:r>
      <w:r>
        <w:rPr>
          <w:b/>
          <w:sz w:val="21"/>
          <w:szCs w:val="21"/>
        </w:rPr>
        <w:t xml:space="preserve">QMS (  </w:t>
      </w:r>
      <w:r>
        <w:rPr>
          <w:rFonts w:hint="eastAsia"/>
          <w:b/>
          <w:sz w:val="21"/>
          <w:szCs w:val="21"/>
        </w:rPr>
        <w:t xml:space="preserve"> </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sz w:val="21"/>
          <w:szCs w:val="21"/>
        </w:rPr>
        <w:t>审核中发现的■</w:t>
      </w:r>
      <w:r>
        <w:rPr>
          <w:b/>
          <w:sz w:val="21"/>
          <w:szCs w:val="21"/>
        </w:rPr>
        <w:t>EMS (  1  )</w:t>
      </w:r>
      <w:r>
        <w:rPr>
          <w:rFonts w:hint="eastAsia"/>
          <w:b/>
          <w:sz w:val="21"/>
          <w:szCs w:val="21"/>
        </w:rPr>
        <w:t>个一般不符合，</w:t>
      </w:r>
      <w:r>
        <w:rPr>
          <w:b/>
          <w:sz w:val="21"/>
          <w:szCs w:val="21"/>
        </w:rPr>
        <w:t>(    )</w:t>
      </w:r>
      <w:r>
        <w:rPr>
          <w:rFonts w:hint="eastAsia"/>
          <w:b/>
          <w:sz w:val="21"/>
          <w:szCs w:val="21"/>
        </w:rPr>
        <w:t>个严重不符合，■证合格仍有问题</w:t>
      </w:r>
    </w:p>
    <w:p>
      <w:pPr>
        <w:spacing w:line="360" w:lineRule="exact"/>
        <w:ind w:firstLine="843" w:firstLineChars="400"/>
        <w:rPr>
          <w:b/>
          <w:sz w:val="21"/>
          <w:szCs w:val="21"/>
        </w:rPr>
      </w:pPr>
      <w:r>
        <w:rPr>
          <w:rFonts w:hint="eastAsia"/>
          <w:b/>
          <w:sz w:val="21"/>
          <w:szCs w:val="21"/>
        </w:rPr>
        <w:t>审核中发现的■</w:t>
      </w:r>
      <w:r>
        <w:rPr>
          <w:b/>
          <w:sz w:val="21"/>
          <w:szCs w:val="21"/>
        </w:rPr>
        <w:t>OHSMS (1 )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ascii="宋体" w:hAnsi="宋体"/>
          <w:b/>
          <w:spacing w:val="-10"/>
          <w:sz w:val="21"/>
          <w:szCs w:val="21"/>
        </w:rPr>
        <w:t>■</w:t>
      </w:r>
      <w:r>
        <w:rPr>
          <w:rFonts w:hint="eastAsia"/>
          <w:b/>
          <w:sz w:val="21"/>
          <w:szCs w:val="21"/>
        </w:rPr>
        <w:t>同意保持注册</w:t>
      </w:r>
      <w:r>
        <w:rPr>
          <w:b/>
          <w:sz w:val="21"/>
          <w:szCs w:val="21"/>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0" w:firstLineChars="343"/>
        <w:rPr>
          <w:rFonts w:hint="eastAsia"/>
          <w:b/>
          <w:sz w:val="21"/>
          <w:szCs w:val="21"/>
        </w:rPr>
      </w:pPr>
      <w:r>
        <w:rPr>
          <w:sz w:val="21"/>
          <w:szCs w:val="21"/>
        </w:rPr>
        <w:drawing>
          <wp:anchor distT="0" distB="0" distL="114300" distR="114300" simplePos="0" relativeHeight="251662336" behindDoc="0" locked="0" layoutInCell="1" allowOverlap="1">
            <wp:simplePos x="0" y="0"/>
            <wp:positionH relativeFrom="column">
              <wp:posOffset>1020445</wp:posOffset>
            </wp:positionH>
            <wp:positionV relativeFrom="paragraph">
              <wp:posOffset>119380</wp:posOffset>
            </wp:positionV>
            <wp:extent cx="551815" cy="293370"/>
            <wp:effectExtent l="0" t="0" r="635" b="11430"/>
            <wp:wrapNone/>
            <wp:docPr id="1"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新文档 2019-04-09 16.49.33"/>
                    <pic:cNvPicPr>
                      <a:picLocks noChangeAspect="1"/>
                    </pic:cNvPicPr>
                  </pic:nvPicPr>
                  <pic:blipFill>
                    <a:blip r:embed="rId6"/>
                    <a:stretch>
                      <a:fillRect/>
                    </a:stretch>
                  </pic:blipFill>
                  <pic:spPr>
                    <a:xfrm>
                      <a:off x="0" y="0"/>
                      <a:ext cx="551815" cy="293370"/>
                    </a:xfrm>
                    <a:prstGeom prst="rect">
                      <a:avLst/>
                    </a:prstGeom>
                    <a:noFill/>
                    <a:ln>
                      <a:noFill/>
                    </a:ln>
                  </pic:spPr>
                </pic:pic>
              </a:graphicData>
            </a:graphic>
          </wp:anchor>
        </w:drawing>
      </w:r>
      <w:r>
        <w:rPr>
          <w:rFonts w:hint="eastAsia"/>
          <w:b/>
          <w:sz w:val="21"/>
          <w:szCs w:val="21"/>
        </w:rPr>
        <w:t>组长签字：</w:t>
      </w: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b/>
          <w:sz w:val="21"/>
        </w:rPr>
        <w:t xml:space="preserve">    </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pPr>
        <w:numPr>
          <w:ilvl w:val="0"/>
          <w:numId w:val="2"/>
        </w:numPr>
        <w:spacing w:line="360" w:lineRule="auto"/>
        <w:rPr>
          <w:b/>
          <w:szCs w:val="24"/>
        </w:rPr>
      </w:pPr>
      <w:r>
        <w:rPr>
          <w:rFonts w:hint="eastAsia"/>
          <w:b/>
          <w:szCs w:val="24"/>
        </w:rPr>
        <w:t>批准结论：</w:t>
      </w:r>
      <w:r>
        <w:rPr>
          <w:b/>
          <w:szCs w:val="24"/>
        </w:rPr>
        <w:t xml:space="preserve">      </w:t>
      </w:r>
      <w:r>
        <w:rPr>
          <w:rFonts w:hint="eastAsia"/>
          <w:b/>
          <w:sz w:val="21"/>
          <w:szCs w:val="21"/>
        </w:rPr>
        <w:t>□</w:t>
      </w:r>
      <w:r>
        <w:rPr>
          <w:rFonts w:hint="eastAsia"/>
          <w:b/>
          <w:sz w:val="21"/>
        </w:rPr>
        <w:t>同意评定结论</w:t>
      </w:r>
      <w:r>
        <w:rPr>
          <w:b/>
          <w:sz w:val="21"/>
        </w:rPr>
        <w:t xml:space="preserve">    </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 xml:space="preserve">              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3" w:firstLineChars="147"/>
        <w:jc w:val="left"/>
        <w:rPr>
          <w:rFonts w:ascii="方正仿宋简体" w:eastAsia="方正仿宋简体"/>
          <w:b/>
        </w:rPr>
      </w:pPr>
    </w:p>
    <w:p>
      <w:pPr>
        <w:snapToGrid w:val="0"/>
        <w:ind w:firstLine="353"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pPr>
        <w:rPr>
          <w:rFonts w:hint="eastAsia"/>
        </w:rPr>
      </w:pP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042 21120 14567 21120 15070 21120 20093 15360 21098 6240 17079 1920 14065 0 6028 0">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A6EBF"/>
    <w:rsid w:val="001D5F4D"/>
    <w:rsid w:val="002F1B5F"/>
    <w:rsid w:val="00463C9D"/>
    <w:rsid w:val="00464F51"/>
    <w:rsid w:val="005B58FB"/>
    <w:rsid w:val="006C5F7D"/>
    <w:rsid w:val="0072137C"/>
    <w:rsid w:val="009D463E"/>
    <w:rsid w:val="00AC1BD6"/>
    <w:rsid w:val="00DA6EBF"/>
    <w:rsid w:val="25605B6A"/>
    <w:rsid w:val="2C15537C"/>
    <w:rsid w:val="305657DA"/>
    <w:rsid w:val="3ADA35C6"/>
    <w:rsid w:val="3D3B4E15"/>
    <w:rsid w:val="413658B5"/>
    <w:rsid w:val="4716288E"/>
    <w:rsid w:val="4AEE0263"/>
    <w:rsid w:val="7C3F02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uiPriority w:val="99"/>
    <w:rPr>
      <w:color w:val="0000FF"/>
      <w:u w:val="single"/>
    </w:r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semiHidden/>
    <w:locked/>
    <w:uiPriority w:val="99"/>
    <w:rPr>
      <w:rFonts w:ascii="Times New Roman" w:hAnsi="Times New Roman" w:eastAsia="宋体" w:cs="Times New Roman"/>
      <w:sz w:val="18"/>
      <w:szCs w:val="18"/>
    </w:rPr>
  </w:style>
  <w:style w:type="character" w:customStyle="1" w:styleId="11">
    <w:name w:val="页眉 字符"/>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1431</Words>
  <Characters>8157</Characters>
  <Lines>67</Lines>
  <Paragraphs>19</Paragraphs>
  <TotalTime>1</TotalTime>
  <ScaleCrop>false</ScaleCrop>
  <LinksUpToDate>false</LinksUpToDate>
  <CharactersWithSpaces>9569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李凤仪</cp:lastModifiedBy>
  <cp:lastPrinted>2019-04-18T08:15:00Z</cp:lastPrinted>
  <dcterms:modified xsi:type="dcterms:W3CDTF">2021-01-16T06:07:34Z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