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auto"/>
          <w:sz w:val="32"/>
          <w:szCs w:val="32"/>
          <w:u w:val="single"/>
        </w:rPr>
      </w:pPr>
      <w:r>
        <w:rPr>
          <w:rFonts w:hint="eastAsia" w:ascii="楷体" w:hAnsi="楷体" w:eastAsia="楷体"/>
          <w:b/>
          <w:color w:val="000000"/>
          <w:sz w:val="32"/>
          <w:szCs w:val="32"/>
        </w:rPr>
        <w:t>受审核方：</w:t>
      </w:r>
      <w:r>
        <w:rPr>
          <w:rFonts w:ascii="宋体"/>
          <w:b/>
          <w:color w:val="auto"/>
          <w:sz w:val="32"/>
          <w:szCs w:val="32"/>
        </w:rPr>
        <w:t>兰州民生早餐食品有限公司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李凤仪</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2019-N1QMS-3031946</w:t>
            </w:r>
          </w:p>
          <w:p>
            <w:pPr>
              <w:jc w:val="center"/>
              <w:rPr>
                <w:b/>
                <w:sz w:val="21"/>
                <w:szCs w:val="21"/>
              </w:rPr>
            </w:pPr>
            <w:r>
              <w:rPr>
                <w:b/>
                <w:sz w:val="21"/>
                <w:szCs w:val="21"/>
              </w:rPr>
              <w:t>2019-N1OHSMS-2031946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ISC-31946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安涛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2020-N1QMS-2211720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杨震</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O:专家</w:t>
            </w:r>
          </w:p>
          <w:p>
            <w:pPr>
              <w:jc w:val="center"/>
              <w:rPr>
                <w:b/>
                <w:sz w:val="21"/>
                <w:szCs w:val="21"/>
              </w:rPr>
            </w:pPr>
            <w:r>
              <w:rPr>
                <w:b/>
                <w:sz w:val="21"/>
                <w:szCs w:val="21"/>
              </w:rPr>
              <w:t>副高级工程师</w:t>
            </w:r>
          </w:p>
        </w:tc>
        <w:tc>
          <w:tcPr>
            <w:tcW w:w="1699" w:type="dxa"/>
            <w:vAlign w:val="center"/>
          </w:tcPr>
          <w:p>
            <w:pPr>
              <w:jc w:val="center"/>
              <w:rPr>
                <w:b/>
                <w:sz w:val="21"/>
                <w:szCs w:val="21"/>
              </w:rPr>
            </w:pPr>
            <w:r>
              <w:rPr>
                <w:b/>
                <w:sz w:val="21"/>
                <w:szCs w:val="21"/>
              </w:rPr>
              <w:t>甘肃中商食品质量检验检测有限公司</w:t>
            </w:r>
          </w:p>
        </w:tc>
        <w:tc>
          <w:tcPr>
            <w:tcW w:w="1728" w:type="dxa"/>
            <w:gridSpan w:val="2"/>
            <w:vAlign w:val="center"/>
          </w:tcPr>
          <w:p>
            <w:pPr>
              <w:jc w:val="center"/>
              <w:rPr>
                <w:b/>
                <w:sz w:val="21"/>
                <w:szCs w:val="21"/>
              </w:rPr>
            </w:pPr>
            <w:r>
              <w:rPr>
                <w:b/>
                <w:sz w:val="21"/>
                <w:szCs w:val="21"/>
              </w:rPr>
              <w:t>Q:03.07.01,30.05.00</w:t>
            </w:r>
          </w:p>
          <w:p>
            <w:pPr>
              <w:jc w:val="center"/>
              <w:rPr>
                <w:b/>
                <w:sz w:val="21"/>
                <w:szCs w:val="21"/>
              </w:rPr>
            </w:pPr>
            <w:r>
              <w:rPr>
                <w:b/>
                <w:sz w:val="21"/>
                <w:szCs w:val="21"/>
              </w:rPr>
              <w:t>O:03.07.01,30.05.00</w:t>
            </w:r>
          </w:p>
        </w:tc>
        <w:tc>
          <w:tcPr>
            <w:tcW w:w="1729" w:type="dxa"/>
            <w:gridSpan w:val="2"/>
            <w:vAlign w:val="center"/>
          </w:tcPr>
          <w:p>
            <w:pPr>
              <w:jc w:val="center"/>
              <w:rPr>
                <w:b/>
                <w:sz w:val="21"/>
                <w:szCs w:val="21"/>
              </w:rPr>
            </w:pPr>
            <w:r>
              <w:rPr>
                <w:b/>
                <w:sz w:val="21"/>
                <w:szCs w:val="21"/>
              </w:rPr>
              <w:t>ISC-JSZJ-091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211"/>
        <w:gridCol w:w="898"/>
        <w:gridCol w:w="332"/>
        <w:gridCol w:w="1277"/>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6"/>
          </w:tcPr>
          <w:p>
            <w:pPr>
              <w:spacing w:line="260" w:lineRule="exact"/>
              <w:rPr>
                <w:rFonts w:ascii="宋体"/>
                <w:b/>
                <w:color w:val="FF0000"/>
                <w:sz w:val="21"/>
              </w:rPr>
            </w:pPr>
            <w:bookmarkStart w:id="9" w:name="组织名称Add"/>
            <w:r>
              <w:rPr>
                <w:rFonts w:ascii="宋体"/>
                <w:b/>
                <w:color w:val="auto"/>
                <w:sz w:val="21"/>
              </w:rPr>
              <w:t>兰州民生早餐食品有限公司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6"/>
          </w:tcPr>
          <w:p>
            <w:pPr>
              <w:rPr>
                <w:rFonts w:ascii="宋体"/>
                <w:b/>
                <w:sz w:val="21"/>
              </w:rPr>
            </w:pPr>
            <w:bookmarkStart w:id="10" w:name="注册地址"/>
            <w:r>
              <w:rPr>
                <w:rFonts w:ascii="宋体"/>
                <w:b/>
                <w:sz w:val="21"/>
              </w:rPr>
              <w:t>甘肃兰州市城关区九州东环路主食厨房工业园区C2-2</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730000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6"/>
          </w:tcPr>
          <w:p>
            <w:pPr>
              <w:rPr>
                <w:rFonts w:ascii="宋体"/>
                <w:b/>
                <w:sz w:val="21"/>
              </w:rPr>
            </w:pPr>
            <w:bookmarkStart w:id="12" w:name="办公地址"/>
            <w:r>
              <w:rPr>
                <w:rFonts w:ascii="宋体"/>
                <w:b/>
                <w:sz w:val="21"/>
              </w:rPr>
              <w:t>甘肃兰州市城关区九州东环路主食厨房工业园区C2-2</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730000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6"/>
          </w:tcPr>
          <w:p>
            <w:pPr>
              <w:rPr>
                <w:rFonts w:ascii="宋体"/>
                <w:b/>
                <w:sz w:val="21"/>
              </w:rPr>
            </w:pPr>
            <w:bookmarkStart w:id="14" w:name="生产地址Add"/>
            <w:r>
              <w:rPr>
                <w:rFonts w:ascii="宋体"/>
                <w:b/>
                <w:sz w:val="21"/>
              </w:rPr>
              <w:t>甘肃兰州市城关区九州东环路主食厨房工业园区C2-2</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730000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吕旭博</w:t>
            </w:r>
            <w:bookmarkEnd w:id="16"/>
          </w:p>
        </w:tc>
        <w:tc>
          <w:tcPr>
            <w:tcW w:w="1109" w:type="dxa"/>
            <w:gridSpan w:val="2"/>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3"/>
            <w:vAlign w:val="center"/>
          </w:tcPr>
          <w:p>
            <w:pPr>
              <w:jc w:val="center"/>
              <w:rPr>
                <w:rFonts w:ascii="宋体"/>
                <w:b/>
                <w:sz w:val="21"/>
              </w:rPr>
            </w:pPr>
            <w:bookmarkStart w:id="17" w:name="联系人电话Add"/>
            <w:r>
              <w:rPr>
                <w:rFonts w:ascii="宋体"/>
                <w:b/>
                <w:sz w:val="21"/>
              </w:rPr>
              <w:t>13359409150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吕旭博</w:t>
            </w:r>
            <w:bookmarkEnd w:id="19"/>
          </w:p>
        </w:tc>
        <w:tc>
          <w:tcPr>
            <w:tcW w:w="1109" w:type="dxa"/>
            <w:gridSpan w:val="2"/>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3"/>
          </w:tcPr>
          <w:p>
            <w:pPr>
              <w:rPr>
                <w:rFonts w:hint="default" w:ascii="宋体" w:hAnsi="宋体" w:eastAsia="宋体"/>
                <w:b/>
                <w:sz w:val="21"/>
                <w:szCs w:val="21"/>
                <w:lang w:val="en-US" w:eastAsia="zh-CN"/>
              </w:rPr>
            </w:pPr>
            <w:r>
              <w:rPr>
                <w:rFonts w:hint="eastAsia" w:ascii="宋体" w:hAnsi="宋体"/>
                <w:b/>
                <w:sz w:val="21"/>
                <w:szCs w:val="21"/>
                <w:lang w:val="en-US" w:eastAsia="zh-CN"/>
              </w:rPr>
              <w:t>卜静安</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default" w:ascii="宋体" w:eastAsia="宋体"/>
                <w:b/>
                <w:sz w:val="21"/>
                <w:lang w:val="en-US" w:eastAsia="zh-CN"/>
              </w:rPr>
            </w:pPr>
            <w:r>
              <w:rPr>
                <w:rFonts w:hint="eastAsia" w:ascii="宋体"/>
                <w:b/>
                <w:sz w:val="21"/>
                <w:lang w:val="en-US" w:eastAsia="zh-CN"/>
              </w:rPr>
              <w:t>柯八林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3"/>
            <w:vAlign w:val="center"/>
          </w:tcPr>
          <w:p>
            <w:pPr>
              <w:rPr>
                <w:rFonts w:ascii="宋体" w:hAnsi="宋体"/>
                <w:b/>
                <w:sz w:val="21"/>
                <w:szCs w:val="21"/>
              </w:rPr>
            </w:pPr>
            <w:bookmarkStart w:id="20" w:name="审核日期"/>
            <w:r>
              <w:rPr>
                <w:rFonts w:ascii="宋体" w:hAnsi="宋体"/>
                <w:b/>
                <w:sz w:val="21"/>
                <w:szCs w:val="21"/>
              </w:rPr>
              <w:t>2021年01月05日 上午至2021年01月07日 上午</w:t>
            </w:r>
            <w:bookmarkEnd w:id="20"/>
          </w:p>
        </w:tc>
        <w:tc>
          <w:tcPr>
            <w:tcW w:w="1609" w:type="dxa"/>
            <w:gridSpan w:val="2"/>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8"/>
          </w:tcPr>
          <w:p>
            <w:pPr>
              <w:rPr>
                <w:b/>
                <w:sz w:val="20"/>
              </w:rPr>
            </w:pPr>
            <w:r>
              <w:rPr>
                <w:b/>
                <w:sz w:val="20"/>
              </w:rPr>
              <w:t>Q：资质范围内餐饮管理服务;资质范围内热食类食品制售、糕点类食品制售（不含裱花蛋糕）及配送</w:t>
            </w:r>
          </w:p>
          <w:p>
            <w:pPr>
              <w:spacing w:line="360" w:lineRule="exact"/>
              <w:rPr>
                <w:rFonts w:ascii="宋体" w:hAnsi="宋体"/>
                <w:b/>
                <w:sz w:val="21"/>
                <w:szCs w:val="21"/>
              </w:rPr>
            </w:pPr>
            <w:r>
              <w:rPr>
                <w:b/>
                <w:sz w:val="20"/>
              </w:rPr>
              <w:t>O：资质范围内餐饮管理服务;资质范围内热食类食品制售、糕点类食品制售（不含裱花蛋糕）及配送及所涉及场所的相关职业健康安全管理活动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8"/>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900" w:type="dxa"/>
            <w:gridSpan w:val="2"/>
          </w:tcPr>
          <w:p>
            <w:pPr>
              <w:spacing w:line="260" w:lineRule="exact"/>
              <w:rPr>
                <w:rFonts w:ascii="宋体" w:hAnsi="宋体"/>
                <w:b/>
                <w:sz w:val="21"/>
                <w:szCs w:val="21"/>
              </w:rPr>
            </w:pPr>
            <w:bookmarkStart w:id="21" w:name="专业代码"/>
            <w:r>
              <w:rPr>
                <w:rFonts w:ascii="宋体" w:hAnsi="宋体"/>
                <w:b/>
                <w:sz w:val="21"/>
                <w:szCs w:val="21"/>
              </w:rPr>
              <w:t>Q：03.07.01;</w:t>
            </w:r>
          </w:p>
          <w:p>
            <w:pPr>
              <w:spacing w:line="260" w:lineRule="exact"/>
              <w:rPr>
                <w:rFonts w:ascii="宋体" w:hAnsi="宋体"/>
                <w:b/>
                <w:sz w:val="21"/>
                <w:szCs w:val="21"/>
              </w:rPr>
            </w:pPr>
            <w:r>
              <w:rPr>
                <w:rFonts w:ascii="宋体" w:hAnsi="宋体"/>
                <w:b/>
                <w:sz w:val="21"/>
                <w:szCs w:val="21"/>
              </w:rPr>
              <w:t>30.05.00</w:t>
            </w:r>
          </w:p>
          <w:p>
            <w:pPr>
              <w:spacing w:line="260" w:lineRule="exact"/>
              <w:rPr>
                <w:rFonts w:ascii="宋体" w:hAnsi="宋体"/>
                <w:b/>
                <w:sz w:val="21"/>
                <w:szCs w:val="21"/>
              </w:rPr>
            </w:pPr>
            <w:r>
              <w:rPr>
                <w:rFonts w:ascii="宋体" w:hAnsi="宋体"/>
                <w:b/>
                <w:sz w:val="21"/>
                <w:szCs w:val="21"/>
              </w:rPr>
              <w:t>O：03.07.01;</w:t>
            </w:r>
          </w:p>
          <w:p>
            <w:pPr>
              <w:spacing w:line="260" w:lineRule="exact"/>
              <w:rPr>
                <w:rFonts w:ascii="宋体" w:hAnsi="宋体"/>
                <w:b/>
                <w:sz w:val="21"/>
                <w:szCs w:val="21"/>
              </w:rPr>
            </w:pPr>
            <w:r>
              <w:rPr>
                <w:rFonts w:ascii="宋体" w:hAnsi="宋体"/>
                <w:b/>
                <w:sz w:val="21"/>
                <w:szCs w:val="21"/>
              </w:rPr>
              <w:t>30.05.00</w:t>
            </w:r>
            <w:bookmarkEnd w:id="21"/>
          </w:p>
        </w:tc>
        <w:tc>
          <w:tcPr>
            <w:tcW w:w="1230"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286"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2022年1月27日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2020年1月15-16日</w:t>
            </w:r>
          </w:p>
        </w:tc>
      </w:tr>
    </w:tbl>
    <w:p>
      <w:pPr>
        <w:tabs>
          <w:tab w:val="left" w:pos="645"/>
        </w:tabs>
        <w:spacing w:afterLines="50" w:line="320" w:lineRule="exact"/>
        <w:jc w:val="left"/>
        <w:rPr>
          <w:b/>
          <w:spacing w:val="-6"/>
          <w:sz w:val="16"/>
          <w:szCs w:val="16"/>
        </w:rPr>
      </w:pPr>
      <w:r>
        <w:rPr>
          <w:rFonts w:hint="eastAsia"/>
          <w:b/>
          <w:sz w:val="26"/>
          <w:szCs w:val="26"/>
        </w:rPr>
        <w:t>五、审核活动安排综述</w:t>
      </w:r>
    </w:p>
    <w:p>
      <w:pPr>
        <w:spacing w:beforeLines="50" w:line="320" w:lineRule="exact"/>
        <w:ind w:left="-194" w:leftChars="-81" w:firstLine="211" w:firstLineChars="100"/>
        <w:jc w:val="left"/>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line="320" w:lineRule="exact"/>
        <w:ind w:left="-194" w:leftChars="-81" w:firstLine="211" w:firstLineChars="100"/>
        <w:jc w:val="left"/>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流动场所信息：详见在建项目清单</w:t>
      </w:r>
    </w:p>
    <w:p>
      <w:pPr>
        <w:spacing w:beforeLines="50" w:line="320" w:lineRule="exact"/>
        <w:ind w:left="-194" w:leftChars="-81" w:firstLine="211" w:firstLineChars="100"/>
        <w:jc w:val="left"/>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系列和过程（设计/生产┄┄）是:</w:t>
      </w:r>
    </w:p>
    <w:p>
      <w:pPr>
        <w:spacing w:line="320" w:lineRule="exact"/>
        <w:jc w:val="left"/>
        <w:rPr>
          <w:b/>
          <w:sz w:val="20"/>
        </w:rPr>
      </w:pPr>
      <w:bookmarkStart w:id="22" w:name="审核范围"/>
      <w:r>
        <w:rPr>
          <w:b/>
          <w:sz w:val="20"/>
        </w:rPr>
        <w:t>Q：资质范围内餐饮管理服务;资质范围内热食类食品制售、糕点类食品制售（不含裱花蛋糕）及配送</w:t>
      </w:r>
    </w:p>
    <w:p>
      <w:pPr>
        <w:spacing w:line="320" w:lineRule="exact"/>
        <w:jc w:val="left"/>
        <w:rPr>
          <w:rFonts w:ascii="宋体" w:hAnsi="宋体"/>
          <w:b/>
          <w:sz w:val="21"/>
          <w:szCs w:val="21"/>
        </w:rPr>
      </w:pPr>
      <w:r>
        <w:rPr>
          <w:b/>
          <w:sz w:val="20"/>
        </w:rPr>
        <w:t>O：资质范围内餐饮管理服务;资质范围内热食类食品制售、糕点类食品制售（不含裱花蛋糕）及配送及所涉及场所的相关职业健康安全管理活动</w:t>
      </w:r>
      <w:bookmarkEnd w:id="22"/>
    </w:p>
    <w:p>
      <w:pPr>
        <w:spacing w:line="320" w:lineRule="exact"/>
        <w:jc w:val="lef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w:t>
      </w:r>
      <w:r>
        <w:rPr>
          <w:rFonts w:ascii="宋体" w:hAnsi="宋体"/>
          <w:b/>
          <w:sz w:val="21"/>
          <w:szCs w:val="21"/>
        </w:rPr>
        <w:t>0</w:t>
      </w:r>
      <w:r>
        <w:rPr>
          <w:rFonts w:hint="eastAsia" w:ascii="宋体" w:hAnsi="宋体"/>
          <w:b/>
          <w:sz w:val="21"/>
          <w:szCs w:val="21"/>
        </w:rPr>
        <w:t>20年</w:t>
      </w:r>
      <w:r>
        <w:rPr>
          <w:rFonts w:ascii="宋体" w:hAnsi="宋体"/>
          <w:b/>
          <w:sz w:val="21"/>
          <w:szCs w:val="21"/>
        </w:rPr>
        <w:t>0</w:t>
      </w:r>
      <w:r>
        <w:rPr>
          <w:rFonts w:hint="eastAsia" w:ascii="宋体" w:hAnsi="宋体"/>
          <w:b/>
          <w:sz w:val="21"/>
          <w:szCs w:val="21"/>
        </w:rPr>
        <w:t>1月16日至2</w:t>
      </w:r>
      <w:r>
        <w:rPr>
          <w:rFonts w:ascii="宋体" w:hAnsi="宋体"/>
          <w:b/>
          <w:sz w:val="21"/>
          <w:szCs w:val="21"/>
        </w:rPr>
        <w:t>0</w:t>
      </w:r>
      <w:r>
        <w:rPr>
          <w:rFonts w:hint="eastAsia" w:ascii="宋体" w:hAnsi="宋体"/>
          <w:b/>
          <w:sz w:val="21"/>
          <w:szCs w:val="21"/>
        </w:rPr>
        <w:t>2</w:t>
      </w:r>
      <w:r>
        <w:rPr>
          <w:rFonts w:hint="eastAsia" w:ascii="宋体" w:hAnsi="宋体"/>
          <w:b/>
          <w:sz w:val="21"/>
          <w:szCs w:val="21"/>
          <w:lang w:val="en-US" w:eastAsia="zh-CN"/>
        </w:rPr>
        <w:t>1</w:t>
      </w:r>
      <w:r>
        <w:rPr>
          <w:rFonts w:hint="eastAsia" w:ascii="宋体" w:hAnsi="宋体"/>
          <w:b/>
          <w:sz w:val="21"/>
          <w:szCs w:val="21"/>
        </w:rPr>
        <w:t>年</w:t>
      </w:r>
      <w:r>
        <w:rPr>
          <w:rFonts w:ascii="宋体" w:hAnsi="宋体"/>
          <w:b/>
          <w:sz w:val="21"/>
          <w:szCs w:val="21"/>
        </w:rPr>
        <w:t>0</w:t>
      </w:r>
      <w:r>
        <w:rPr>
          <w:rFonts w:hint="eastAsia" w:ascii="宋体" w:hAnsi="宋体"/>
          <w:b/>
          <w:sz w:val="21"/>
          <w:szCs w:val="21"/>
        </w:rPr>
        <w:t>1月</w:t>
      </w:r>
      <w:r>
        <w:rPr>
          <w:rFonts w:hint="eastAsia" w:ascii="宋体" w:hAnsi="宋体"/>
          <w:b/>
          <w:sz w:val="21"/>
          <w:szCs w:val="21"/>
          <w:lang w:val="en-US" w:eastAsia="zh-CN"/>
        </w:rPr>
        <w:t>07</w:t>
      </w:r>
      <w:r>
        <w:rPr>
          <w:rFonts w:hint="eastAsia" w:ascii="宋体" w:hAnsi="宋体"/>
          <w:b/>
          <w:sz w:val="21"/>
          <w:szCs w:val="21"/>
        </w:rPr>
        <w:t>日</w:t>
      </w:r>
    </w:p>
    <w:p>
      <w:pPr>
        <w:spacing w:line="320" w:lineRule="exact"/>
        <w:jc w:val="left"/>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20" w:lineRule="exact"/>
        <w:ind w:left="-211" w:leftChars="-88" w:firstLine="470" w:firstLineChars="223"/>
        <w:jc w:val="left"/>
        <w:rPr>
          <w:rFonts w:ascii="宋体" w:hAnsi="宋体"/>
          <w:b/>
          <w:sz w:val="21"/>
          <w:szCs w:val="21"/>
        </w:rPr>
      </w:pPr>
      <w:r>
        <w:rPr>
          <w:rFonts w:hint="eastAsia" w:ascii="宋体" w:hAnsi="宋体"/>
          <w:b/>
          <w:sz w:val="21"/>
          <w:szCs w:val="21"/>
        </w:rPr>
        <w:t>■已完成审核计划的全部工作</w:t>
      </w:r>
    </w:p>
    <w:p>
      <w:pPr>
        <w:spacing w:line="320" w:lineRule="exact"/>
        <w:ind w:left="-211" w:leftChars="-88" w:firstLine="470" w:firstLineChars="223"/>
        <w:jc w:val="left"/>
        <w:rPr>
          <w:rFonts w:ascii="宋体" w:hAnsi="宋体"/>
          <w:b/>
          <w:sz w:val="21"/>
          <w:szCs w:val="21"/>
        </w:rPr>
      </w:pPr>
      <w:r>
        <w:rPr>
          <w:rFonts w:hint="eastAsia" w:ascii="宋体" w:hAnsi="宋体"/>
          <w:b/>
          <w:sz w:val="21"/>
          <w:szCs w:val="21"/>
        </w:rPr>
        <w:t>□计划有修改，但不会影响审核结论，修改的内容和原因是</w:t>
      </w:r>
    </w:p>
    <w:p>
      <w:pPr>
        <w:spacing w:line="320" w:lineRule="exact"/>
        <w:ind w:left="-211" w:leftChars="-88" w:firstLine="470" w:firstLineChars="223"/>
        <w:jc w:val="left"/>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 w:val="center" w:pos="7655"/>
        </w:tabs>
        <w:spacing w:beforeLines="100" w:afterLines="50" w:line="320" w:lineRule="exact"/>
        <w:jc w:val="lef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320" w:lineRule="exact"/>
              <w:ind w:left="241" w:right="113" w:hanging="241" w:hangingChars="100"/>
              <w:jc w:val="left"/>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20" w:lineRule="exact"/>
              <w:jc w:val="lef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20" w:lineRule="exact"/>
              <w:jc w:val="left"/>
              <w:rPr>
                <w:b/>
                <w:sz w:val="21"/>
                <w:szCs w:val="21"/>
              </w:rPr>
            </w:pPr>
            <w:r>
              <w:rPr>
                <w:rFonts w:hint="eastAsia" w:ascii="宋体" w:hAnsi="宋体"/>
                <w:b/>
                <w:sz w:val="21"/>
                <w:szCs w:val="21"/>
              </w:rPr>
              <w:t>审核范围：</w:t>
            </w:r>
            <w:r>
              <w:rPr>
                <w:b/>
                <w:sz w:val="20"/>
              </w:rPr>
              <w:t>Q：</w:t>
            </w:r>
            <w:r>
              <w:rPr>
                <w:b/>
                <w:sz w:val="21"/>
                <w:szCs w:val="21"/>
              </w:rPr>
              <w:t>资质范围内餐饮管理服务;资质范围内热食类食品制售、糕点类食品制售（不含裱花蛋糕）及配送</w:t>
            </w:r>
            <w:r>
              <w:rPr>
                <w:rFonts w:hint="eastAsia"/>
                <w:b/>
                <w:sz w:val="21"/>
                <w:szCs w:val="21"/>
              </w:rPr>
              <w:t>，</w:t>
            </w:r>
            <w:r>
              <w:rPr>
                <w:rFonts w:hint="eastAsia" w:ascii="宋体" w:hAnsi="宋体"/>
                <w:b/>
                <w:sz w:val="21"/>
                <w:szCs w:val="21"/>
              </w:rPr>
              <w:t>公司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20" w:lineRule="exact"/>
              <w:ind w:firstLine="422" w:firstLineChars="200"/>
              <w:jc w:val="left"/>
              <w:rPr>
                <w:rFonts w:ascii="宋体" w:hAnsi="宋体"/>
                <w:b/>
                <w:sz w:val="21"/>
                <w:szCs w:val="21"/>
              </w:rPr>
            </w:pPr>
            <w:r>
              <w:rPr>
                <w:rFonts w:hint="eastAsia" w:ascii="宋体" w:hAnsi="宋体"/>
                <w:b/>
                <w:sz w:val="21"/>
                <w:szCs w:val="21"/>
              </w:rPr>
              <w:t>提供了《组织内外部环境因素识别表》：</w:t>
            </w:r>
          </w:p>
          <w:p>
            <w:pPr>
              <w:spacing w:line="320" w:lineRule="exact"/>
              <w:jc w:val="left"/>
              <w:rPr>
                <w:b/>
                <w:sz w:val="21"/>
                <w:szCs w:val="21"/>
              </w:rPr>
            </w:pPr>
            <w:r>
              <w:rPr>
                <w:rFonts w:hint="eastAsia" w:ascii="宋体" w:hAnsi="宋体"/>
                <w:b/>
                <w:sz w:val="21"/>
                <w:szCs w:val="21"/>
              </w:rPr>
              <w:t>内部环境：资源因素－公司提供符合资质范围内</w:t>
            </w:r>
            <w:r>
              <w:rPr>
                <w:b/>
                <w:sz w:val="21"/>
                <w:szCs w:val="21"/>
              </w:rPr>
              <w:t>餐饮管理服务;资质范围内热食类食品制售、糕点类食品制售（不含裱花蛋糕）及配送</w:t>
            </w:r>
            <w:r>
              <w:rPr>
                <w:rFonts w:hint="eastAsia" w:ascii="宋体" w:hAnsi="宋体"/>
                <w:b/>
                <w:sz w:val="21"/>
                <w:szCs w:val="21"/>
              </w:rPr>
              <w:t>的场所，配备适宜的硬件和软件设施设备。信息来源：设施设备清单－具体现状描述：本公司设施设备可以确保</w:t>
            </w:r>
            <w:r>
              <w:rPr>
                <w:b/>
                <w:sz w:val="21"/>
                <w:szCs w:val="21"/>
              </w:rPr>
              <w:t>资质范围内餐饮管理服务;资质范围内热食类食品制售、糕点类食品制售（不含裱花蛋糕）及配送</w:t>
            </w:r>
            <w:r>
              <w:rPr>
                <w:rFonts w:hint="eastAsia" w:ascii="宋体" w:hAnsi="宋体"/>
                <w:b/>
                <w:sz w:val="21"/>
                <w:szCs w:val="21"/>
              </w:rPr>
              <w:t>基本的质量控制要求；</w:t>
            </w:r>
          </w:p>
          <w:p>
            <w:pPr>
              <w:spacing w:line="320" w:lineRule="exact"/>
              <w:ind w:firstLine="422" w:firstLineChars="200"/>
              <w:jc w:val="left"/>
              <w:rPr>
                <w:rFonts w:ascii="宋体" w:hAnsi="宋体"/>
                <w:b/>
                <w:sz w:val="21"/>
                <w:szCs w:val="21"/>
              </w:rPr>
            </w:pPr>
            <w:r>
              <w:rPr>
                <w:rFonts w:hint="eastAsia" w:ascii="宋体" w:hAnsi="宋体"/>
                <w:b/>
                <w:sz w:val="21"/>
                <w:szCs w:val="21"/>
              </w:rPr>
              <w:t>外部环境：竞争力－公司类别：当前市场占有率不高，其他类似企业比较多－信息来源：市场调查和分析－具体现状描述：本公司产品质量稳定，但在市场中同行也多，竞争压力大－SWOT分析：公司管理层已确定了外部和内部因素，已经对经营环境、内外部环境进行分析并提出对策，并进行了监视和评审。具体可详见</w:t>
            </w:r>
            <w:r>
              <w:rPr>
                <w:rFonts w:hint="eastAsia" w:asciiTheme="minorEastAsia" w:hAnsiTheme="minorEastAsia" w:eastAsiaTheme="minorEastAsia"/>
                <w:b/>
                <w:sz w:val="21"/>
                <w:szCs w:val="21"/>
              </w:rPr>
              <w:t>SWOT经营环境分析及对策报告。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20" w:lineRule="exact"/>
              <w:ind w:left="241" w:right="113" w:hanging="241" w:hangingChars="100"/>
              <w:jc w:val="left"/>
              <w:rPr>
                <w:rFonts w:ascii="宋体"/>
                <w:b/>
                <w:szCs w:val="21"/>
              </w:rPr>
            </w:pPr>
          </w:p>
        </w:tc>
        <w:tc>
          <w:tcPr>
            <w:tcW w:w="9198" w:type="dxa"/>
          </w:tcPr>
          <w:p>
            <w:pPr>
              <w:spacing w:line="320" w:lineRule="exact"/>
              <w:jc w:val="left"/>
              <w:rPr>
                <w:rFonts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320" w:lineRule="exact"/>
              <w:ind w:firstLine="413" w:firstLineChars="196"/>
              <w:jc w:val="left"/>
              <w:rPr>
                <w:rFonts w:ascii="宋体" w:hAnsi="宋体" w:cs="宋体"/>
                <w:b/>
                <w:sz w:val="21"/>
                <w:szCs w:val="21"/>
              </w:rPr>
            </w:pPr>
            <w:r>
              <w:rPr>
                <w:rFonts w:hint="eastAsia" w:ascii="宋体" w:hAnsi="宋体" w:cs="宋体"/>
                <w:b/>
                <w:sz w:val="21"/>
                <w:szCs w:val="21"/>
              </w:rPr>
              <w:t>充分理解相关方的需求和期望以帮助本公司更好的建立公司管理方针和目标，做到目的更明确。以满足相关方的要求并争取做到更高的期望值。公司为此确定了：a与管理体系有关的相关方，我们公司特别是关注外供方和顾客；b这些相关方的要求；c.这些要求和期望中哪些会成为合规义务。公司对这些相关方及其要求的相关信息进行监视和评审，以便于理解和持续满足相关方的需求和期望。本公司考虑以下相关方：--顾客；--最终用户或受益人；--顾客，股东；---外部供应商；--雇员及其他为组织工作者；--法律法规及监管机关；--地方社区团体；--非政府组织等。</w:t>
            </w:r>
          </w:p>
          <w:p>
            <w:pPr>
              <w:spacing w:line="320" w:lineRule="exact"/>
              <w:ind w:firstLine="422" w:firstLineChars="200"/>
              <w:jc w:val="left"/>
              <w:rPr>
                <w:rFonts w:ascii="宋体" w:hAnsi="宋体"/>
                <w:b/>
                <w:sz w:val="21"/>
                <w:szCs w:val="21"/>
              </w:rPr>
            </w:pPr>
            <w:r>
              <w:rPr>
                <w:rFonts w:hint="eastAsia" w:ascii="宋体" w:hAnsi="宋体" w:cs="宋体"/>
                <w:b/>
                <w:sz w:val="21"/>
                <w:szCs w:val="21"/>
              </w:rPr>
              <w:t>目前顾客的主要需求期望是：提供卫生、健康方便、满足职业健康安全要求的早餐产品和服务。</w:t>
            </w:r>
            <w:r>
              <w:rPr>
                <w:rFonts w:hint="eastAsia" w:ascii="宋体" w:hAnsi="宋体"/>
                <w:b/>
                <w:sz w:val="21"/>
                <w:szCs w:val="21"/>
              </w:rPr>
              <w:t>相关方期望或要求监测与更新：管理者代表每年在管理评审前组织一次全面的内、外部环境要素识别与评审。</w:t>
            </w:r>
          </w:p>
          <w:p>
            <w:pPr>
              <w:spacing w:line="320" w:lineRule="exact"/>
              <w:ind w:firstLine="422" w:firstLineChars="200"/>
              <w:jc w:val="left"/>
              <w:rPr>
                <w:rFonts w:ascii="宋体" w:hAnsi="宋体"/>
                <w:b/>
                <w:sz w:val="21"/>
                <w:szCs w:val="21"/>
              </w:rPr>
            </w:pPr>
            <w:r>
              <w:rPr>
                <w:rFonts w:hint="eastAsia" w:ascii="宋体" w:hAnsi="宋体"/>
                <w:b/>
                <w:sz w:val="21"/>
                <w:szCs w:val="21"/>
              </w:rPr>
              <w:t>各部门在获得内外部环境要素信息变化时，应及时告知管理者代表，由管理者代表对《相关方期望或要求识别表》进行修订。</w:t>
            </w:r>
          </w:p>
          <w:p>
            <w:pPr>
              <w:spacing w:line="320" w:lineRule="exact"/>
              <w:ind w:firstLine="422" w:firstLineChars="200"/>
              <w:jc w:val="left"/>
              <w:rPr>
                <w:rFonts w:ascii="宋体" w:hAnsi="宋体"/>
                <w:b/>
                <w:sz w:val="21"/>
                <w:szCs w:val="21"/>
              </w:rPr>
            </w:pPr>
            <w:r>
              <w:rPr>
                <w:rFonts w:hint="eastAsia" w:ascii="宋体" w:hAnsi="宋体"/>
                <w:b/>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textDirection w:val="tbRlV"/>
            <w:vAlign w:val="center"/>
          </w:tcPr>
          <w:p>
            <w:pPr>
              <w:spacing w:line="320" w:lineRule="exact"/>
              <w:ind w:left="241" w:right="113" w:hanging="241" w:hangingChars="100"/>
              <w:jc w:val="left"/>
              <w:rPr>
                <w:rFonts w:ascii="宋体"/>
                <w:b/>
                <w:szCs w:val="21"/>
              </w:rPr>
            </w:pPr>
          </w:p>
        </w:tc>
        <w:tc>
          <w:tcPr>
            <w:tcW w:w="9198" w:type="dxa"/>
          </w:tcPr>
          <w:p>
            <w:pPr>
              <w:spacing w:line="320" w:lineRule="exact"/>
              <w:jc w:val="left"/>
              <w:rPr>
                <w:rFonts w:ascii="宋体" w:hAnsi="宋体"/>
                <w:b/>
                <w:sz w:val="21"/>
                <w:szCs w:val="21"/>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Theme="minorEastAsia" w:hAnsiTheme="minorEastAsia" w:eastAsiaTheme="minorEastAsia"/>
                <w:b/>
                <w:color w:val="000000"/>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20" w:lineRule="exact"/>
              <w:ind w:left="240" w:leftChars="100" w:firstLine="482"/>
              <w:jc w:val="left"/>
              <w:rPr>
                <w:rFonts w:cs="宋体" w:asciiTheme="minorEastAsia" w:hAnsiTheme="minorEastAsia"/>
                <w:b/>
                <w:bCs/>
                <w:sz w:val="21"/>
                <w:szCs w:val="21"/>
              </w:rPr>
            </w:pPr>
            <w:r>
              <w:rPr>
                <w:rFonts w:hint="eastAsia" w:ascii="宋体" w:hAnsi="宋体"/>
                <w:b/>
                <w:sz w:val="21"/>
                <w:szCs w:val="21"/>
              </w:rPr>
              <w:t>管理方针：</w:t>
            </w:r>
            <w:r>
              <w:rPr>
                <w:rFonts w:hint="eastAsia" w:cs="宋体" w:asciiTheme="minorEastAsia" w:hAnsiTheme="minorEastAsia"/>
                <w:b/>
                <w:bCs/>
                <w:sz w:val="21"/>
                <w:szCs w:val="21"/>
              </w:rPr>
              <w:t>质量方针：（1、绿色健康、美食营养、优质诚信、共赢发展、科学管理、质量第一、持续改进、顾客满意。</w:t>
            </w:r>
          </w:p>
          <w:p>
            <w:pPr>
              <w:spacing w:line="320" w:lineRule="exact"/>
              <w:ind w:firstLine="422" w:firstLineChars="200"/>
              <w:jc w:val="left"/>
              <w:rPr>
                <w:rFonts w:ascii="宋体" w:hAnsi="宋体"/>
                <w:b/>
                <w:sz w:val="21"/>
                <w:szCs w:val="21"/>
              </w:rPr>
            </w:pPr>
            <w:r>
              <w:rPr>
                <w:rFonts w:hint="eastAsia"/>
                <w:b/>
                <w:sz w:val="21"/>
                <w:szCs w:val="21"/>
              </w:rPr>
              <w:t>职业健康安全方针;遵纪守法，强化职业健康安全管理，消除危害隐患；以人为本，保障员工安康，谋求持续发展</w:t>
            </w:r>
            <w:r>
              <w:rPr>
                <w:rFonts w:hint="eastAsia" w:ascii="宋体" w:hAnsi="宋体"/>
                <w:b/>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20" w:lineRule="exact"/>
              <w:ind w:left="241" w:right="113" w:hanging="241" w:hangingChars="100"/>
              <w:jc w:val="left"/>
              <w:rPr>
                <w:rFonts w:ascii="宋体"/>
                <w:b/>
                <w:szCs w:val="21"/>
              </w:rPr>
            </w:pPr>
          </w:p>
        </w:tc>
        <w:tc>
          <w:tcPr>
            <w:tcW w:w="9198" w:type="dxa"/>
          </w:tcPr>
          <w:p>
            <w:pPr>
              <w:spacing w:line="320" w:lineRule="exact"/>
              <w:jc w:val="left"/>
              <w:rPr>
                <w:rFonts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320" w:lineRule="exact"/>
              <w:jc w:val="left"/>
              <w:rPr>
                <w:rFonts w:ascii="宋体" w:hAnsi="宋体"/>
                <w:b/>
                <w:sz w:val="21"/>
                <w:szCs w:val="21"/>
              </w:rPr>
            </w:pPr>
            <w:r>
              <w:rPr>
                <w:rFonts w:hint="eastAsia" w:ascii="宋体" w:hAnsi="宋体"/>
                <w:b/>
                <w:sz w:val="21"/>
                <w:szCs w:val="21"/>
              </w:rPr>
              <w:t>制定了《风险和机遇的应对控制程序》，明确风险和机遇事件的识别方法/途径、风险和机遇事件的评估方式、制定主要风险和机遇事件的应对措施的要求、评价这些措施有效性的方法。</w:t>
            </w:r>
          </w:p>
          <w:p>
            <w:pPr>
              <w:spacing w:line="320" w:lineRule="exact"/>
              <w:ind w:firstLine="422" w:firstLineChars="200"/>
              <w:jc w:val="left"/>
              <w:rPr>
                <w:rFonts w:ascii="宋体" w:hAnsi="宋体"/>
                <w:b/>
                <w:sz w:val="21"/>
                <w:szCs w:val="21"/>
              </w:rPr>
            </w:pPr>
            <w:r>
              <w:rPr>
                <w:rFonts w:hint="eastAsia" w:ascii="宋体" w:hAnsi="宋体"/>
                <w:b/>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320" w:lineRule="exact"/>
              <w:ind w:firstLine="422" w:firstLineChars="200"/>
              <w:jc w:val="left"/>
              <w:rPr>
                <w:rFonts w:ascii="宋体" w:hAnsi="宋体"/>
                <w:b/>
                <w:sz w:val="21"/>
                <w:szCs w:val="21"/>
              </w:rPr>
            </w:pPr>
            <w:r>
              <w:rPr>
                <w:rFonts w:hint="eastAsia" w:ascii="宋体" w:hAnsi="宋体"/>
                <w:b/>
                <w:sz w:val="21"/>
                <w:szCs w:val="21"/>
              </w:rPr>
              <w:t>提供了“经营分析及对策报告”，已认真交流风险如战略失误及人力资源成本上升、早餐食品竞争不断加剧等，主要措施确定战略更加科学、通过提高管理水平消化人力资源成本上升；通过差异化策略提高早餐食品的竞争力。效果待观察。机遇主要是现在社会对早餐食品的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5.QMS</w:t>
            </w:r>
            <w:r>
              <w:rPr>
                <w:rFonts w:hint="eastAsia" w:ascii="宋体" w:hAnsi="宋体"/>
                <w:b/>
                <w:sz w:val="21"/>
                <w:szCs w:val="21"/>
              </w:rPr>
              <w:t>过程</w:t>
            </w:r>
          </w:p>
          <w:p>
            <w:pPr>
              <w:tabs>
                <w:tab w:val="left" w:pos="540"/>
              </w:tabs>
              <w:spacing w:line="320" w:lineRule="exact"/>
              <w:ind w:left="211" w:hanging="211" w:hangingChars="100"/>
              <w:jc w:val="left"/>
              <w:rPr>
                <w:rFonts w:ascii="宋体" w:hAnsi="宋体"/>
                <w:b/>
                <w:sz w:val="21"/>
                <w:szCs w:val="21"/>
              </w:rPr>
            </w:pPr>
            <w:r>
              <w:rPr>
                <w:rFonts w:hint="eastAsia" w:ascii="宋体" w:hAnsi="宋体"/>
                <w:b/>
                <w:sz w:val="21"/>
                <w:szCs w:val="21"/>
              </w:rPr>
              <w:t>质量管理体系过程有：人力资源、基础设施、文件、机构、职责、产品和服务的要求、外部提供的产品和服务、产品放行、不合格输出控制、绩效评价、改进等；</w:t>
            </w:r>
          </w:p>
          <w:p>
            <w:pPr>
              <w:tabs>
                <w:tab w:val="left" w:pos="540"/>
              </w:tabs>
              <w:spacing w:line="320" w:lineRule="exact"/>
              <w:ind w:left="211" w:hanging="211" w:hangingChars="100"/>
              <w:jc w:val="left"/>
              <w:rPr>
                <w:rFonts w:ascii="宋体" w:hAnsi="宋体"/>
                <w:b/>
                <w:sz w:val="21"/>
                <w:szCs w:val="21"/>
              </w:rPr>
            </w:pPr>
            <w:r>
              <w:rPr>
                <w:rFonts w:hint="eastAsia" w:ascii="宋体" w:hAnsi="宋体"/>
                <w:b/>
                <w:sz w:val="21"/>
                <w:szCs w:val="21"/>
              </w:rPr>
              <w:t>其中关键过程有：</w:t>
            </w:r>
            <w:r>
              <w:rPr>
                <w:rFonts w:hint="eastAsia" w:asciiTheme="minorEastAsia" w:hAnsiTheme="minorEastAsia" w:eastAsiaTheme="minorEastAsia"/>
                <w:b/>
                <w:bCs/>
                <w:sz w:val="21"/>
                <w:szCs w:val="21"/>
              </w:rPr>
              <w:t>配料过程：</w:t>
            </w:r>
          </w:p>
          <w:p>
            <w:pPr>
              <w:tabs>
                <w:tab w:val="left" w:pos="540"/>
              </w:tabs>
              <w:spacing w:line="320" w:lineRule="exact"/>
              <w:ind w:left="211" w:hanging="211" w:hangingChars="100"/>
              <w:jc w:val="left"/>
              <w:rPr>
                <w:rFonts w:ascii="宋体" w:hAnsi="宋体"/>
                <w:b/>
                <w:sz w:val="21"/>
                <w:szCs w:val="21"/>
              </w:rPr>
            </w:pPr>
            <w:r>
              <w:rPr>
                <w:rFonts w:hint="eastAsia" w:ascii="宋体" w:hAnsi="宋体"/>
                <w:b/>
                <w:sz w:val="21"/>
                <w:szCs w:val="21"/>
              </w:rPr>
              <w:t>需要确认过程：无。</w:t>
            </w:r>
          </w:p>
          <w:p>
            <w:pPr>
              <w:tabs>
                <w:tab w:val="left" w:pos="540"/>
              </w:tabs>
              <w:spacing w:line="320" w:lineRule="exact"/>
              <w:ind w:left="211" w:hanging="241" w:hangingChars="100"/>
              <w:jc w:val="left"/>
              <w:rPr>
                <w:rFonts w:ascii="宋体" w:hAnsi="宋体"/>
                <w:b/>
                <w:sz w:val="21"/>
                <w:szCs w:val="21"/>
              </w:rPr>
            </w:pPr>
            <w:r>
              <w:rPr>
                <w:rFonts w:hint="eastAsia" w:asciiTheme="minorEastAsia" w:hAnsiTheme="minorEastAsia"/>
                <w:b/>
                <w:bCs w:val="0"/>
                <w:color w:val="auto"/>
                <w:szCs w:val="22"/>
                <w:u w:val="none"/>
              </w:rPr>
              <w:t>不适用条款为GB/T19001-2016标准8.3条款要求，由于本公司顾客群稳定，工艺流程明确，执行国家标准规范要求，删减后不影响向顾客提供合格产品和满足法律法规要求。无外包活动。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6. </w:t>
            </w:r>
            <w:r>
              <w:rPr>
                <w:rFonts w:hint="eastAsia" w:asciiTheme="minorEastAsia" w:hAnsiTheme="minorEastAsia" w:eastAsiaTheme="minorEastAsia"/>
                <w:b/>
                <w:color w:val="000000"/>
                <w:sz w:val="21"/>
                <w:szCs w:val="21"/>
              </w:rPr>
              <w:t>□</w:t>
            </w:r>
            <w:r>
              <w:rPr>
                <w:rFonts w:ascii="宋体" w:hAnsi="宋体"/>
                <w:b/>
                <w:sz w:val="21"/>
                <w:szCs w:val="21"/>
              </w:rPr>
              <w:t>EMS</w:t>
            </w:r>
            <w:r>
              <w:rPr>
                <w:rFonts w:hint="eastAsia" w:ascii="宋体" w:hAnsi="宋体"/>
                <w:b/>
                <w:sz w:val="21"/>
                <w:szCs w:val="21"/>
              </w:rPr>
              <w:t>环境因素</w:t>
            </w:r>
          </w:p>
          <w:p>
            <w:pPr>
              <w:spacing w:line="320" w:lineRule="exact"/>
              <w:jc w:val="lef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20" w:lineRule="exact"/>
              <w:jc w:val="left"/>
              <w:rPr>
                <w:rFonts w:ascii="宋体" w:hAnsi="宋体"/>
                <w:b/>
                <w:sz w:val="21"/>
                <w:szCs w:val="21"/>
              </w:rPr>
            </w:pPr>
            <w:r>
              <w:rPr>
                <w:rFonts w:hint="eastAsia" w:ascii="宋体" w:hAnsi="宋体"/>
                <w:b/>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20" w:lineRule="exact"/>
              <w:jc w:val="lef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20" w:lineRule="exact"/>
              <w:jc w:val="left"/>
              <w:rPr>
                <w:rFonts w:ascii="宋体" w:hAnsi="宋体"/>
                <w:b/>
                <w:sz w:val="21"/>
                <w:szCs w:val="21"/>
              </w:rPr>
            </w:pPr>
          </w:p>
          <w:p>
            <w:pPr>
              <w:spacing w:line="320" w:lineRule="exact"/>
              <w:ind w:firstLine="422" w:firstLineChars="200"/>
              <w:jc w:val="left"/>
              <w:rPr>
                <w:rFonts w:ascii="宋体" w:hAnsi="宋体"/>
                <w:b/>
                <w:sz w:val="21"/>
                <w:szCs w:val="21"/>
              </w:rPr>
            </w:pPr>
            <w:r>
              <w:rPr>
                <w:rFonts w:hint="eastAsia" w:ascii="宋体" w:hAnsi="宋体"/>
                <w:b/>
                <w:sz w:val="21"/>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320" w:lineRule="exact"/>
              <w:ind w:firstLine="422" w:firstLineChars="200"/>
              <w:jc w:val="left"/>
              <w:rPr>
                <w:rFonts w:ascii="宋体" w:hAnsi="宋体"/>
                <w:b/>
                <w:sz w:val="21"/>
                <w:szCs w:val="21"/>
              </w:rPr>
            </w:pPr>
            <w:r>
              <w:rPr>
                <w:rFonts w:hint="eastAsia" w:ascii="宋体" w:hAnsi="宋体"/>
                <w:b/>
                <w:sz w:val="21"/>
                <w:szCs w:val="21"/>
              </w:rPr>
              <w:t>提供了“危险源辨识和风险评价表”，对活动场所产生的危险源辨识并进行风险评价，以确定控制措施，经查阅已辨识出线路老化、短路隐患，电线漏电、设备伤人、交通事故等情况产生的火灾、触电、意外伤害等危险因素</w:t>
            </w:r>
            <w:r>
              <w:rPr>
                <w:rFonts w:hint="eastAsia" w:ascii="宋体" w:hAnsi="宋体"/>
                <w:b/>
                <w:sz w:val="21"/>
                <w:szCs w:val="21"/>
                <w:lang w:eastAsia="zh-CN"/>
              </w:rPr>
              <w:t>。</w:t>
            </w:r>
          </w:p>
          <w:p>
            <w:pPr>
              <w:spacing w:line="320" w:lineRule="exact"/>
              <w:ind w:firstLine="422" w:firstLineChars="200"/>
              <w:jc w:val="left"/>
              <w:rPr>
                <w:rFonts w:ascii="宋体" w:hAnsi="宋体"/>
                <w:b/>
                <w:sz w:val="21"/>
                <w:szCs w:val="21"/>
              </w:rPr>
            </w:pPr>
            <w:r>
              <w:rPr>
                <w:rFonts w:hint="eastAsia" w:ascii="宋体" w:hAnsi="宋体"/>
                <w:b/>
                <w:sz w:val="21"/>
                <w:szCs w:val="21"/>
              </w:rPr>
              <w:t>由各部门有管理经验的人员共同讨论、采用直接判断的方法确定不可接受风险。提供了“不可接受风险清单”涉及本部门的不可接受风险有：火灾，意外伤害；公司针对不可接受风险编制了职业健康安全目标、指标及管理方案，内容包括：目标、指标、管理措施、完成时间、资金投入等；根据组织经营性质，识别了各部门和场所的危险源对危险源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1"/>
              </w:numPr>
              <w:tabs>
                <w:tab w:val="left" w:pos="540"/>
              </w:tabs>
              <w:spacing w:line="320" w:lineRule="exact"/>
              <w:ind w:left="-12" w:leftChars="-43" w:hanging="91" w:hangingChars="43"/>
              <w:jc w:val="left"/>
              <w:rPr>
                <w:rFonts w:ascii="宋体" w:hAnsi="宋体"/>
                <w:b/>
                <w:szCs w:val="21"/>
              </w:rPr>
            </w:pPr>
            <w:r>
              <w:rPr>
                <w:rFonts w:hint="eastAsia" w:ascii="宋体" w:hAnsi="宋体"/>
                <w:b/>
                <w:szCs w:val="21"/>
              </w:rPr>
              <w:t>获取法律法规项，■法律法规获取充分</w:t>
            </w:r>
          </w:p>
          <w:p>
            <w:pPr>
              <w:pStyle w:val="13"/>
              <w:numPr>
                <w:ilvl w:val="0"/>
                <w:numId w:val="1"/>
              </w:numPr>
              <w:tabs>
                <w:tab w:val="left" w:pos="540"/>
              </w:tabs>
              <w:spacing w:line="320" w:lineRule="exact"/>
              <w:ind w:firstLineChars="0"/>
              <w:jc w:val="left"/>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w:t>
            </w:r>
            <w:r>
              <w:rPr>
                <w:rFonts w:hint="eastAsia"/>
                <w:b/>
                <w:spacing w:val="-10"/>
                <w:szCs w:val="21"/>
              </w:rPr>
              <w:t>□</w:t>
            </w:r>
            <w:r>
              <w:rPr>
                <w:rFonts w:hint="eastAsia" w:ascii="宋体" w:hAnsi="宋体"/>
                <w:b/>
                <w:szCs w:val="21"/>
              </w:rPr>
              <w:t>环境因素■危险源，■确定□未确定法律法规要求的具体条款，</w:t>
            </w:r>
          </w:p>
          <w:p>
            <w:pPr>
              <w:pStyle w:val="13"/>
              <w:numPr>
                <w:ilvl w:val="0"/>
                <w:numId w:val="1"/>
              </w:numPr>
              <w:tabs>
                <w:tab w:val="left" w:pos="540"/>
              </w:tabs>
              <w:spacing w:line="320" w:lineRule="exact"/>
              <w:ind w:firstLineChars="0"/>
              <w:jc w:val="left"/>
              <w:rPr>
                <w:rFonts w:ascii="宋体" w:hAnsi="宋体"/>
                <w:b/>
                <w:color w:val="000000"/>
                <w:szCs w:val="21"/>
              </w:rPr>
            </w:pPr>
            <w:r>
              <w:rPr>
                <w:rFonts w:hint="eastAsia" w:ascii="宋体" w:hAnsi="宋体"/>
                <w:b/>
                <w:szCs w:val="21"/>
              </w:rPr>
              <w:t>法律法规的宣传方式：</w:t>
            </w:r>
            <w:r>
              <w:rPr>
                <w:rFonts w:hint="eastAsia" w:ascii="宋体" w:hAnsi="宋体"/>
                <w:b/>
                <w:color w:val="000000"/>
                <w:szCs w:val="21"/>
              </w:rPr>
              <w:t>■会议    ■网络    ■公示   ■其他</w:t>
            </w:r>
          </w:p>
          <w:p>
            <w:pPr>
              <w:pStyle w:val="13"/>
              <w:numPr>
                <w:ilvl w:val="0"/>
                <w:numId w:val="1"/>
              </w:numPr>
              <w:tabs>
                <w:tab w:val="left" w:pos="540"/>
              </w:tabs>
              <w:spacing w:line="320" w:lineRule="exact"/>
              <w:ind w:firstLineChars="0"/>
              <w:jc w:val="left"/>
              <w:rPr>
                <w:rFonts w:ascii="宋体" w:hAnsi="宋体"/>
                <w:b/>
                <w:sz w:val="21"/>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20" w:lineRule="exact"/>
              <w:jc w:val="left"/>
              <w:rPr>
                <w:rFonts w:ascii="宋体" w:hAnsi="宋体"/>
                <w:b/>
                <w:sz w:val="21"/>
                <w:szCs w:val="21"/>
              </w:rPr>
            </w:pPr>
            <w:r>
              <w:rPr>
                <w:rFonts w:hint="eastAsia" w:ascii="宋体" w:hAnsi="宋体"/>
                <w:b/>
                <w:sz w:val="21"/>
                <w:szCs w:val="21"/>
              </w:rPr>
              <w:t>（在相关层次上建立可测量的目标，目标、方案的有效性，对QO目标的实现情况进行评价并叙述测量方法）</w:t>
            </w:r>
          </w:p>
          <w:p>
            <w:pPr>
              <w:spacing w:line="320" w:lineRule="exact"/>
              <w:jc w:val="left"/>
              <w:rPr>
                <w:rFonts w:ascii="宋体" w:hAnsi="宋体"/>
                <w:b/>
                <w:sz w:val="21"/>
                <w:szCs w:val="21"/>
              </w:rPr>
            </w:pPr>
            <w:r>
              <w:rPr>
                <w:rFonts w:hint="eastAsia" w:ascii="宋体" w:hAnsi="宋体"/>
                <w:b/>
                <w:color w:val="000000"/>
                <w:sz w:val="21"/>
                <w:szCs w:val="21"/>
              </w:rPr>
              <w:t>在公司各职能和层次上建立了质量、职业健康安全目标，并制定了相应考核办法。基本适宜公司特点。</w:t>
            </w:r>
            <w:r>
              <w:rPr>
                <w:rFonts w:hint="eastAsia" w:ascii="宋体" w:hAnsi="宋体"/>
                <w:b/>
                <w:color w:val="000000"/>
                <w:sz w:val="21"/>
                <w:szCs w:val="21"/>
                <w:lang w:val="en-US" w:eastAsia="zh-CN"/>
              </w:rPr>
              <w:t>查看2020年</w:t>
            </w:r>
            <w:r>
              <w:rPr>
                <w:rFonts w:hint="eastAsia" w:ascii="宋体" w:hAnsi="宋体"/>
                <w:b/>
                <w:color w:val="000000"/>
                <w:sz w:val="21"/>
                <w:szCs w:val="21"/>
              </w:rPr>
              <w:t>目标具有可测量性，对目标完成情况进行了考核。对制订的管理方案实施情况定期进行检查。目前20</w:t>
            </w:r>
            <w:r>
              <w:rPr>
                <w:rFonts w:hint="eastAsia" w:ascii="宋体" w:hAnsi="宋体"/>
                <w:b/>
                <w:color w:val="000000"/>
                <w:sz w:val="21"/>
                <w:szCs w:val="21"/>
                <w:lang w:val="en-US" w:eastAsia="zh-CN"/>
              </w:rPr>
              <w:t>20</w:t>
            </w:r>
            <w:r>
              <w:rPr>
                <w:rFonts w:hint="eastAsia" w:ascii="宋体" w:hAnsi="宋体"/>
                <w:b/>
                <w:color w:val="000000"/>
                <w:sz w:val="21"/>
                <w:szCs w:val="21"/>
              </w:rPr>
              <w:t>年QO目标均考核完成。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20" w:lineRule="exact"/>
              <w:jc w:val="left"/>
              <w:rPr>
                <w:rFonts w:ascii="宋体" w:hAnsi="宋体"/>
                <w:b/>
                <w:sz w:val="21"/>
                <w:szCs w:val="21"/>
              </w:rPr>
            </w:pPr>
            <w:r>
              <w:rPr>
                <w:rFonts w:hint="eastAsia" w:ascii="宋体" w:hAnsi="宋体"/>
                <w:b/>
                <w:sz w:val="21"/>
                <w:szCs w:val="21"/>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320" w:lineRule="exact"/>
              <w:ind w:firstLine="422" w:firstLineChars="200"/>
              <w:jc w:val="left"/>
              <w:rPr>
                <w:rFonts w:ascii="宋体" w:hAnsi="宋体"/>
                <w:b/>
                <w:sz w:val="21"/>
                <w:szCs w:val="21"/>
              </w:rPr>
            </w:pPr>
            <w:r>
              <w:rPr>
                <w:rFonts w:hint="eastAsia" w:ascii="宋体" w:hAnsi="宋体"/>
                <w:b/>
                <w:sz w:val="21"/>
                <w:szCs w:val="21"/>
              </w:rPr>
              <w:t>创建和更新文件时，标识和说明、格式、评审和批准等与规定要求相符。文件的存在形式以书面文件和电子版文件为准。公司ISO45001-2018转版，经过文审修订后成文信息的控制基本符合要求。</w:t>
            </w:r>
            <w:r>
              <w:rPr>
                <w:rFonts w:hint="eastAsia" w:ascii="宋体" w:hAnsi="宋体"/>
                <w:b/>
                <w:sz w:val="21"/>
                <w:szCs w:val="21"/>
                <w:u w:val="none"/>
                <w:lang w:val="en-US" w:eastAsia="zh-CN"/>
              </w:rPr>
              <w:t>经现场验证：</w:t>
            </w:r>
            <w:r>
              <w:rPr>
                <w:rFonts w:hint="eastAsia" w:ascii="宋体" w:hAnsi="宋体"/>
                <w:b/>
                <w:color w:val="auto"/>
                <w:sz w:val="21"/>
                <w:szCs w:val="21"/>
                <w:u w:val="none"/>
              </w:rPr>
              <w:t>查</w:t>
            </w:r>
            <w:r>
              <w:rPr>
                <w:rFonts w:hint="eastAsia" w:ascii="宋体" w:hAnsi="宋体"/>
                <w:b/>
                <w:color w:val="auto"/>
                <w:sz w:val="21"/>
                <w:szCs w:val="21"/>
                <w:u w:val="none"/>
                <w:lang w:val="en-US" w:eastAsia="zh-CN"/>
              </w:rPr>
              <w:t>上一年度</w:t>
            </w:r>
            <w:r>
              <w:rPr>
                <w:rFonts w:hint="eastAsia" w:ascii="宋体" w:hAnsi="宋体"/>
                <w:b/>
                <w:color w:val="auto"/>
                <w:sz w:val="21"/>
                <w:szCs w:val="21"/>
                <w:u w:val="none"/>
              </w:rPr>
              <w:t>开具一般不符合报告1项</w:t>
            </w:r>
            <w:r>
              <w:rPr>
                <w:rFonts w:hint="eastAsia" w:ascii="宋体" w:hAnsi="宋体"/>
                <w:b/>
                <w:color w:val="auto"/>
                <w:sz w:val="21"/>
                <w:szCs w:val="21"/>
                <w:u w:val="none"/>
                <w:lang w:eastAsia="zh-CN"/>
              </w:rPr>
              <w:t>：</w:t>
            </w:r>
            <w:r>
              <w:rPr>
                <w:rFonts w:hint="eastAsia" w:ascii="宋体" w:hAnsi="宋体"/>
                <w:b/>
                <w:color w:val="auto"/>
                <w:sz w:val="21"/>
                <w:szCs w:val="21"/>
                <w:u w:val="none"/>
                <w:lang w:val="en-US" w:eastAsia="zh-CN"/>
              </w:rPr>
              <w:t>关于</w:t>
            </w:r>
            <w:r>
              <w:rPr>
                <w:rFonts w:hint="eastAsia" w:ascii="宋体" w:hAnsi="宋体"/>
                <w:b/>
                <w:color w:val="auto"/>
                <w:sz w:val="21"/>
                <w:szCs w:val="21"/>
                <w:u w:val="none"/>
              </w:rPr>
              <w:t>作废文件2018年A/版管理手册MSZC/SC-2018）的处置，提供</w:t>
            </w:r>
            <w:r>
              <w:rPr>
                <w:rFonts w:hint="eastAsia" w:ascii="宋体" w:hAnsi="宋体"/>
                <w:b/>
                <w:color w:val="auto"/>
                <w:sz w:val="21"/>
                <w:szCs w:val="21"/>
                <w:u w:val="none"/>
                <w:lang w:val="en-US" w:eastAsia="zh-CN"/>
              </w:rPr>
              <w:t>的纠正措施实施基本有效</w:t>
            </w:r>
            <w:r>
              <w:rPr>
                <w:rFonts w:hint="eastAsia" w:ascii="宋体" w:hAnsi="宋体"/>
                <w:b/>
                <w:color w:val="auto"/>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restart"/>
            <w:textDirection w:val="tbRlV"/>
            <w:vAlign w:val="center"/>
          </w:tcPr>
          <w:p>
            <w:pPr>
              <w:spacing w:line="320" w:lineRule="exact"/>
              <w:ind w:left="113" w:right="113"/>
              <w:jc w:val="left"/>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20" w:lineRule="exact"/>
              <w:jc w:val="lef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20" w:lineRule="exact"/>
              <w:ind w:firstLine="428"/>
              <w:jc w:val="left"/>
              <w:rPr>
                <w:rFonts w:ascii="宋体" w:hAnsi="宋体"/>
                <w:b/>
                <w:sz w:val="21"/>
                <w:szCs w:val="21"/>
              </w:rPr>
            </w:pPr>
            <w:r>
              <w:rPr>
                <w:rFonts w:hint="eastAsia" w:ascii="宋体" w:hAnsi="宋体"/>
                <w:b/>
                <w:sz w:val="21"/>
                <w:szCs w:val="21"/>
              </w:rPr>
              <w:t>该公司员工30人，管理人员11人，各工种持证人数均能满足资质要求，人力资源满足要求。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jc w:val="left"/>
              <w:rPr>
                <w:rFonts w:ascii="宋体" w:hAnsi="宋体"/>
                <w:b/>
                <w:sz w:val="21"/>
                <w:szCs w:val="21"/>
              </w:rPr>
            </w:pPr>
            <w:r>
              <w:rPr>
                <w:rFonts w:hint="eastAsia" w:ascii="宋体" w:hAnsi="宋体"/>
                <w:b/>
                <w:sz w:val="21"/>
                <w:szCs w:val="21"/>
              </w:rPr>
              <w:t>设备设施（包括信息系统）</w:t>
            </w:r>
          </w:p>
          <w:p>
            <w:pPr>
              <w:spacing w:line="320" w:lineRule="exact"/>
              <w:jc w:val="left"/>
              <w:rPr>
                <w:rFonts w:ascii="宋体" w:hAnsi="宋体" w:cs="宋体"/>
                <w:b/>
                <w:sz w:val="21"/>
                <w:szCs w:val="21"/>
              </w:rPr>
            </w:pPr>
            <w:r>
              <w:rPr>
                <w:rFonts w:hint="eastAsia" w:ascii="宋体" w:hAnsi="宋体"/>
                <w:b/>
                <w:sz w:val="21"/>
                <w:szCs w:val="21"/>
              </w:rPr>
              <w:t>办公场所面积800平方左右。生产车间面积3200平方米。</w:t>
            </w:r>
            <w:r>
              <w:rPr>
                <w:rFonts w:hint="eastAsia" w:ascii="宋体" w:hAnsi="宋体" w:cs="宋体"/>
                <w:b/>
                <w:sz w:val="21"/>
                <w:szCs w:val="21"/>
              </w:rPr>
              <w:t>查阅提供的《生产设施、设备台账》，共登记了压面机、面包滚圆机、和面机、搅拌机、共78台/套设备。配送车辆箱式货车10台。现行状态良好，设备及配送车辆能满足产品实现的需要。</w:t>
            </w:r>
            <w:r>
              <w:rPr>
                <w:rFonts w:hint="eastAsia" w:ascii="宋体" w:hAnsi="宋体"/>
                <w:b/>
                <w:sz w:val="21"/>
                <w:szCs w:val="21"/>
              </w:rPr>
              <w:t>办公设备监控系统、投影仪，网络、如电脑、打印机、复印机、办公车辆等。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jc w:val="left"/>
              <w:rPr>
                <w:rFonts w:ascii="宋体" w:hAnsi="宋体"/>
                <w:b/>
                <w:sz w:val="21"/>
                <w:szCs w:val="21"/>
              </w:rPr>
            </w:pPr>
            <w:r>
              <w:rPr>
                <w:rFonts w:hint="eastAsia" w:ascii="宋体" w:hAnsi="宋体"/>
                <w:b/>
                <w:sz w:val="21"/>
                <w:szCs w:val="21"/>
              </w:rPr>
              <w:t>过程运行环境</w:t>
            </w:r>
          </w:p>
          <w:p>
            <w:pPr>
              <w:spacing w:line="320" w:lineRule="exact"/>
              <w:jc w:val="left"/>
              <w:rPr>
                <w:rFonts w:ascii="宋体" w:hAnsi="宋体"/>
                <w:b/>
                <w:sz w:val="21"/>
                <w:szCs w:val="21"/>
              </w:rPr>
            </w:pPr>
            <w:r>
              <w:rPr>
                <w:rFonts w:hint="eastAsia" w:ascii="宋体" w:hAnsi="宋体"/>
                <w:b/>
                <w:sz w:val="21"/>
                <w:szCs w:val="21"/>
              </w:rPr>
              <w:t>过程环境有温度，湿度、洁净度要求。人员进入现场风淋处理，必须按服装、佩戴帽子、口罩。对生产现场消毒处理。办公、培训场所和内设备布置合理，通道畅通，照明设施齐全，办公室明亮，工作场所光线较充足。每月由行政部对工作环境进行定期检查和采取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jc w:val="left"/>
              <w:rPr>
                <w:rFonts w:ascii="宋体" w:hAnsi="宋体"/>
                <w:b/>
                <w:sz w:val="21"/>
                <w:szCs w:val="21"/>
              </w:rPr>
            </w:pPr>
            <w:r>
              <w:rPr>
                <w:rFonts w:hint="eastAsia" w:ascii="宋体" w:hAnsi="宋体"/>
                <w:b/>
                <w:sz w:val="21"/>
                <w:szCs w:val="21"/>
              </w:rPr>
              <w:t>监视和测量资源</w:t>
            </w:r>
          </w:p>
          <w:p>
            <w:pPr>
              <w:spacing w:line="320" w:lineRule="exact"/>
              <w:jc w:val="left"/>
              <w:rPr>
                <w:rFonts w:ascii="宋体" w:hAnsi="宋体"/>
                <w:b/>
                <w:sz w:val="21"/>
                <w:szCs w:val="21"/>
              </w:rPr>
            </w:pPr>
            <w:r>
              <w:rPr>
                <w:rFonts w:hint="eastAsia" w:ascii="宋体" w:hAnsi="宋体" w:cs="宋体"/>
                <w:b/>
                <w:sz w:val="21"/>
                <w:szCs w:val="21"/>
              </w:rPr>
              <w:t>公司配备的监视和测量设备主要有：台秤、压力表等，能够满足产品生产过程中的监视和测量需求。提供了校准证书。附件已带回。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jc w:val="left"/>
              <w:rPr>
                <w:rFonts w:ascii="宋体" w:hAnsi="宋体"/>
                <w:b/>
                <w:sz w:val="21"/>
                <w:szCs w:val="21"/>
              </w:rPr>
            </w:pPr>
            <w:r>
              <w:rPr>
                <w:rFonts w:hint="eastAsia" w:ascii="宋体" w:hAnsi="宋体"/>
                <w:b/>
                <w:sz w:val="21"/>
                <w:szCs w:val="21"/>
              </w:rPr>
              <w:t>知识</w:t>
            </w:r>
          </w:p>
          <w:p>
            <w:pPr>
              <w:spacing w:line="320" w:lineRule="exact"/>
              <w:ind w:firstLine="316" w:firstLineChars="150"/>
              <w:jc w:val="left"/>
              <w:rPr>
                <w:rFonts w:ascii="宋体" w:hAnsi="宋体"/>
                <w:b/>
                <w:sz w:val="21"/>
                <w:szCs w:val="21"/>
              </w:rPr>
            </w:pPr>
            <w:r>
              <w:rPr>
                <w:rFonts w:hint="eastAsia" w:ascii="宋体" w:hAnsi="宋体"/>
                <w:b/>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20" w:lineRule="exact"/>
              <w:ind w:firstLine="422" w:firstLineChars="200"/>
              <w:jc w:val="left"/>
              <w:rPr>
                <w:rFonts w:ascii="宋体" w:hAnsi="宋体"/>
                <w:b/>
                <w:sz w:val="21"/>
                <w:szCs w:val="21"/>
              </w:rPr>
            </w:pPr>
            <w:r>
              <w:rPr>
                <w:rFonts w:hint="eastAsia" w:ascii="宋体" w:hAnsi="宋体"/>
                <w:b/>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ind w:firstLine="316" w:firstLineChars="150"/>
              <w:jc w:val="left"/>
              <w:rPr>
                <w:rFonts w:ascii="宋体" w:hAnsi="宋体"/>
                <w:b/>
                <w:sz w:val="21"/>
                <w:szCs w:val="21"/>
              </w:rPr>
            </w:pPr>
            <w:r>
              <w:rPr>
                <w:rFonts w:hint="eastAsia" w:ascii="宋体" w:hAnsi="宋体"/>
                <w:b/>
                <w:sz w:val="21"/>
                <w:szCs w:val="21"/>
              </w:rPr>
              <w:t>环保设施：</w:t>
            </w:r>
          </w:p>
          <w:p>
            <w:pPr>
              <w:spacing w:line="320" w:lineRule="exact"/>
              <w:ind w:firstLine="316" w:firstLineChars="150"/>
              <w:jc w:val="left"/>
              <w:rPr>
                <w:rFonts w:ascii="宋体" w:hAnsi="宋体"/>
                <w:b/>
                <w:sz w:val="21"/>
                <w:szCs w:val="21"/>
              </w:rPr>
            </w:pPr>
            <w:r>
              <w:rPr>
                <w:rFonts w:hint="eastAsia" w:ascii="宋体" w:hAnsi="宋体"/>
                <w:b/>
                <w:sz w:val="21"/>
                <w:szCs w:val="21"/>
              </w:rPr>
              <w:t>风淋系统、灭火器、消火栓、垃圾桶等。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ind w:firstLine="316" w:firstLineChars="150"/>
              <w:jc w:val="left"/>
              <w:rPr>
                <w:rFonts w:ascii="宋体" w:hAnsi="宋体"/>
                <w:b/>
                <w:sz w:val="21"/>
                <w:szCs w:val="21"/>
              </w:rPr>
            </w:pPr>
            <w:r>
              <w:rPr>
                <w:rFonts w:hint="eastAsia" w:ascii="宋体" w:hAnsi="宋体"/>
                <w:b/>
                <w:sz w:val="21"/>
                <w:szCs w:val="21"/>
              </w:rPr>
              <w:t>职业健康安全设施：</w:t>
            </w:r>
          </w:p>
          <w:p>
            <w:pPr>
              <w:spacing w:line="320" w:lineRule="exact"/>
              <w:ind w:firstLine="316" w:firstLineChars="150"/>
              <w:jc w:val="left"/>
              <w:rPr>
                <w:rFonts w:ascii="宋体" w:hAnsi="宋体"/>
                <w:b/>
                <w:sz w:val="21"/>
                <w:szCs w:val="21"/>
              </w:rPr>
            </w:pPr>
            <w:r>
              <w:rPr>
                <w:rFonts w:hint="eastAsia" w:ascii="宋体" w:hAnsi="宋体"/>
                <w:b/>
                <w:sz w:val="21"/>
                <w:szCs w:val="21"/>
              </w:rPr>
              <w:t>监控设备、烟感、安全帽、劳保服、灭火器、消火栓等。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20" w:type="dxa"/>
            <w:vMerge w:val="restart"/>
            <w:textDirection w:val="tbRlV"/>
            <w:vAlign w:val="center"/>
          </w:tcPr>
          <w:p>
            <w:pPr>
              <w:spacing w:line="320" w:lineRule="exact"/>
              <w:ind w:left="113" w:right="113"/>
              <w:jc w:val="left"/>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20" w:lineRule="exact"/>
              <w:jc w:val="lef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20" w:lineRule="exact"/>
              <w:ind w:left="1"/>
              <w:jc w:val="left"/>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20" w:lineRule="exact"/>
              <w:ind w:left="1"/>
              <w:jc w:val="left"/>
              <w:rPr>
                <w:rFonts w:ascii="宋体" w:hAnsi="宋体"/>
                <w:b/>
                <w:sz w:val="21"/>
                <w:szCs w:val="21"/>
              </w:rPr>
            </w:pPr>
            <w:r>
              <w:rPr>
                <w:rFonts w:hint="eastAsia" w:ascii="宋体" w:hAnsi="宋体"/>
                <w:b/>
                <w:sz w:val="21"/>
                <w:szCs w:val="21"/>
              </w:rPr>
              <w:t>最高管理者组织制定了方针：“以人为本，开拓创新，持续改进质量；防尘降噪，遵守法规，提高环境绩效；安全第一，预防为主，杜绝重大事故；”，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ind w:left="167" w:hanging="167" w:hangingChars="79"/>
              <w:jc w:val="left"/>
              <w:rPr>
                <w:rFonts w:asciiTheme="minorEastAsia" w:hAnsiTheme="minorEastAsia" w:eastAsiaTheme="minorEastAsia"/>
                <w:b/>
                <w:sz w:val="21"/>
                <w:szCs w:val="21"/>
              </w:rPr>
            </w:pPr>
            <w:r>
              <w:rPr>
                <w:rFonts w:asciiTheme="minorEastAsia" w:hAnsiTheme="minorEastAsia" w:eastAsiaTheme="minorEastAsia"/>
                <w:b/>
                <w:sz w:val="21"/>
                <w:szCs w:val="21"/>
              </w:rPr>
              <w:t xml:space="preserve">2. </w:t>
            </w:r>
            <w:r>
              <w:rPr>
                <w:rFonts w:hint="eastAsia" w:asciiTheme="minorEastAsia" w:hAnsiTheme="minorEastAsia" w:eastAsiaTheme="minorEastAsia"/>
                <w:b/>
                <w:sz w:val="21"/>
                <w:szCs w:val="21"/>
              </w:rPr>
              <w:t>组织内部沟通的充分性与效果；（</w:t>
            </w:r>
            <w:r>
              <w:rPr>
                <w:rFonts w:asciiTheme="minorEastAsia" w:hAnsiTheme="minorEastAsia" w:eastAsiaTheme="minorEastAsia"/>
                <w:b/>
                <w:sz w:val="21"/>
                <w:szCs w:val="21"/>
              </w:rPr>
              <w:t>OHSMS</w:t>
            </w:r>
            <w:r>
              <w:rPr>
                <w:rFonts w:hint="eastAsia" w:asciiTheme="minorEastAsia" w:hAnsiTheme="minorEastAsia" w:eastAsiaTheme="minorEastAsia"/>
                <w:b/>
                <w:sz w:val="21"/>
                <w:szCs w:val="21"/>
              </w:rPr>
              <w:t>员工参与风险管理</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健康安全事务的关心和影响力；组织对外联络关注顾客的感受情况、信息交流包括通报相关方的情况等）</w:t>
            </w:r>
          </w:p>
          <w:p>
            <w:pPr>
              <w:spacing w:line="320" w:lineRule="exact"/>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内部沟通的情况：内部沟通方式：在公司内部主要采用电话、会议、面谈等形式就与产品质量、服务有关问题及与质量管理体系有关问题进行沟通，未发生由于沟通不到位而影响工作的情况。内部沟通的效果良好。</w:t>
            </w:r>
          </w:p>
          <w:p>
            <w:pPr>
              <w:spacing w:line="320" w:lineRule="exact"/>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组织对外联络，关注顾客的感受情况（QMS）：采取顾客满意度调查方式了解顾客感受。</w:t>
            </w:r>
          </w:p>
          <w:p>
            <w:pPr>
              <w:spacing w:line="320" w:lineRule="exact"/>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外部信息的接收、成文并答复的情况（E、S填写）：对会议通知和规定等登记处理，重要环境因素信息对外交流情况（EMS填写）：</w:t>
            </w:r>
          </w:p>
          <w:p>
            <w:pPr>
              <w:spacing w:line="320" w:lineRule="exact"/>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OHSMS事务代表协商和交流的情况（OHSMS填写）：与安全健康管理有关的法律法规，包括《劳动合同法》、《工伤保险条例》、《职业病防治法》等关于员工权益、保险等内容与相关方协商的情况（OHSMS填写）：按国家食品行业标准及公司制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Theme="minorEastAsia" w:hAnsiTheme="minorEastAsia" w:eastAsiaTheme="minorEastAsia"/>
                <w:b/>
                <w:sz w:val="21"/>
                <w:szCs w:val="21"/>
              </w:rPr>
            </w:pPr>
            <w:r>
              <w:rPr>
                <w:rFonts w:asciiTheme="minorEastAsia" w:hAnsiTheme="minorEastAsia" w:eastAsiaTheme="minorEastAsia"/>
                <w:b/>
                <w:sz w:val="21"/>
                <w:szCs w:val="21"/>
              </w:rPr>
              <w:t xml:space="preserve">3.  QMS </w:t>
            </w:r>
            <w:r>
              <w:rPr>
                <w:rFonts w:hint="eastAsia" w:asciiTheme="minorEastAsia" w:hAnsiTheme="minorEastAsia" w:eastAsiaTheme="minorEastAsia"/>
                <w:b/>
                <w:sz w:val="21"/>
                <w:szCs w:val="21"/>
              </w:rPr>
              <w:t>组织对重要过程实施控制的结果</w:t>
            </w:r>
          </w:p>
          <w:p>
            <w:pPr>
              <w:spacing w:line="320" w:lineRule="exact"/>
              <w:ind w:left="206" w:leftChars="42" w:hanging="105" w:hangingChars="50"/>
              <w:jc w:val="left"/>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rPr>
              <w:t>包括对</w:t>
            </w:r>
            <w:r>
              <w:rPr>
                <w:rFonts w:asciiTheme="minorEastAsia" w:hAnsiTheme="minorEastAsia" w:eastAsiaTheme="minorEastAsia"/>
                <w:b/>
                <w:sz w:val="21"/>
                <w:szCs w:val="21"/>
              </w:rPr>
              <w:t>QMS</w:t>
            </w:r>
            <w:r>
              <w:rPr>
                <w:rFonts w:hint="eastAsia" w:asciiTheme="minorEastAsia" w:hAnsiTheme="minorEastAsia" w:eastAsiaTheme="minorEastAsia"/>
                <w:b/>
                <w:sz w:val="21"/>
                <w:szCs w:val="21"/>
              </w:rPr>
              <w:t>关键工序</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过程</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、特殊过程控制</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评价组织对过程实施控制情况</w:t>
            </w:r>
            <w:r>
              <w:rPr>
                <w:rFonts w:asciiTheme="minorEastAsia" w:hAnsiTheme="minorEastAsia" w:eastAsiaTheme="minorEastAsia"/>
                <w:b/>
                <w:sz w:val="21"/>
                <w:szCs w:val="21"/>
              </w:rPr>
              <w:t>)</w:t>
            </w:r>
          </w:p>
          <w:p>
            <w:pPr>
              <w:spacing w:line="320" w:lineRule="exact"/>
              <w:jc w:val="left"/>
              <w:rPr>
                <w:rFonts w:asciiTheme="minorEastAsia" w:hAnsiTheme="minorEastAsia" w:eastAsiaTheme="minorEastAsia"/>
                <w:b/>
                <w:bCs/>
                <w:sz w:val="21"/>
                <w:szCs w:val="21"/>
              </w:rPr>
            </w:pPr>
            <w:r>
              <w:rPr>
                <w:rFonts w:asciiTheme="minorEastAsia" w:hAnsiTheme="minorEastAsia" w:eastAsiaTheme="minorEastAsia"/>
                <w:b/>
                <w:sz w:val="21"/>
                <w:szCs w:val="21"/>
              </w:rPr>
              <w:t>QMS</w:t>
            </w:r>
            <w:r>
              <w:rPr>
                <w:rFonts w:hint="eastAsia" w:asciiTheme="minorEastAsia" w:hAnsiTheme="minorEastAsia" w:eastAsiaTheme="minorEastAsia"/>
                <w:b/>
                <w:sz w:val="21"/>
                <w:szCs w:val="21"/>
              </w:rPr>
              <w:t>关键工序</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过程</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w:t>
            </w:r>
            <w:r>
              <w:rPr>
                <w:rFonts w:hint="eastAsia" w:asciiTheme="minorEastAsia" w:hAnsiTheme="minorEastAsia" w:eastAsiaTheme="minorEastAsia"/>
                <w:b/>
                <w:bCs/>
                <w:sz w:val="21"/>
                <w:szCs w:val="21"/>
              </w:rPr>
              <w:t>配料过程：</w:t>
            </w:r>
          </w:p>
          <w:p>
            <w:pPr>
              <w:spacing w:line="320" w:lineRule="exact"/>
              <w:jc w:val="left"/>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工艺流程：领料—打料—成型—再次醒发—烘烤—冷却—包装—入库；</w:t>
            </w:r>
          </w:p>
          <w:p>
            <w:pPr>
              <w:spacing w:line="320" w:lineRule="exact"/>
              <w:ind w:firstLine="480"/>
              <w:jc w:val="lef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面食类制作工艺流程：领料—方面—和面—成型—再次醒发—蒸制—冷却—包装—入库。</w:t>
            </w:r>
          </w:p>
          <w:p>
            <w:pPr>
              <w:adjustRightInd w:val="0"/>
              <w:snapToGrid w:val="0"/>
              <w:spacing w:line="320" w:lineRule="exact"/>
              <w:ind w:firstLine="422" w:firstLineChars="200"/>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查有《</w:t>
            </w:r>
            <w:r>
              <w:rPr>
                <w:rFonts w:hint="eastAsia" w:asciiTheme="minorEastAsia" w:hAnsiTheme="minorEastAsia" w:eastAsiaTheme="minorEastAsia"/>
                <w:b/>
                <w:sz w:val="21"/>
                <w:szCs w:val="21"/>
              </w:rPr>
              <w:t>制作服务过程控制程序</w:t>
            </w:r>
            <w:r>
              <w:rPr>
                <w:rFonts w:hint="eastAsia" w:cs="宋体" w:asciiTheme="minorEastAsia" w:hAnsiTheme="minorEastAsia" w:eastAsiaTheme="minorEastAsia"/>
                <w:b/>
                <w:bCs/>
                <w:sz w:val="21"/>
                <w:szCs w:val="21"/>
              </w:rPr>
              <w:t>》为过程控制的纲领性文件，总领产品实现过程的控制；</w:t>
            </w:r>
          </w:p>
          <w:p>
            <w:pPr>
              <w:adjustRightInd w:val="0"/>
              <w:snapToGrid w:val="0"/>
              <w:spacing w:line="320" w:lineRule="exact"/>
              <w:ind w:firstLine="422" w:firstLineChars="200"/>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查有“工艺指导书”、“技术标准”“餐饮管理服务规范”等文件，明确规定了产品的特性；</w:t>
            </w:r>
          </w:p>
          <w:p>
            <w:pPr>
              <w:adjustRightInd w:val="0"/>
              <w:snapToGrid w:val="0"/>
              <w:spacing w:line="320" w:lineRule="exact"/>
              <w:ind w:firstLine="422" w:firstLineChars="200"/>
              <w:jc w:val="lef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查有《作业指导书》、《工艺流程图》、《检验规范》等过程控制的辅助性文件，明确规定了产品生产过程的具体要求和操作步骤；</w:t>
            </w:r>
            <w:r>
              <w:rPr>
                <w:rFonts w:hint="eastAsia" w:asciiTheme="minorEastAsia" w:hAnsiTheme="minorEastAsia" w:eastAsiaTheme="minorEastAsia"/>
                <w:b/>
                <w:sz w:val="21"/>
                <w:szCs w:val="21"/>
              </w:rPr>
              <w:t>关键过程控制有效。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20" w:lineRule="exact"/>
              <w:ind w:firstLine="517" w:firstLineChars="245"/>
              <w:jc w:val="left"/>
              <w:rPr>
                <w:rFonts w:ascii="宋体" w:hAnsi="宋体"/>
                <w:b/>
                <w:sz w:val="21"/>
                <w:szCs w:val="21"/>
              </w:rPr>
            </w:pPr>
            <w:r>
              <w:rPr>
                <w:rFonts w:hint="eastAsia" w:ascii="宋体" w:hAnsi="宋体"/>
                <w:b/>
                <w:sz w:val="21"/>
                <w:szCs w:val="21"/>
              </w:rPr>
              <w:t>制定并实施了产品检验控制规定，规定了公司各管理层次和品质检测部门在各阶段对产品服务质量实施检查与验收的管理要求。内容基本具备全面性、系统性及可操作性。质量检查与验收均在产品出厂前予以实现，范围包括：过程、最终产品。以此保证持续向顾客稳定提供稳定合格的早餐产品。</w:t>
            </w:r>
          </w:p>
          <w:p>
            <w:pPr>
              <w:spacing w:line="320" w:lineRule="exact"/>
              <w:jc w:val="lef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：参见检验报告（电子版附件已带回）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20" w:lineRule="exact"/>
              <w:jc w:val="left"/>
              <w:rPr>
                <w:rFonts w:ascii="宋体" w:hAnsi="宋体"/>
                <w:b/>
                <w:sz w:val="21"/>
                <w:szCs w:val="21"/>
              </w:rPr>
            </w:pPr>
            <w:r>
              <w:rPr>
                <w:rFonts w:hint="eastAsia" w:ascii="宋体" w:hAnsi="宋体"/>
                <w:b/>
                <w:sz w:val="21"/>
                <w:szCs w:val="21"/>
              </w:rPr>
              <w:t>提供2019年产品委托检测报告符合要求。请参见附件，检验报告电子版附件已带回。（粥品、麻花、桃酥、花卷、馒头、包子等）</w:t>
            </w:r>
          </w:p>
          <w:p>
            <w:pPr>
              <w:spacing w:line="320" w:lineRule="exact"/>
              <w:ind w:firstLine="207" w:firstLineChars="98"/>
              <w:jc w:val="lef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20" w:lineRule="exact"/>
              <w:jc w:val="left"/>
              <w:rPr>
                <w:rFonts w:ascii="宋体" w:hAnsi="宋体"/>
                <w:b/>
                <w:sz w:val="21"/>
                <w:szCs w:val="21"/>
              </w:rPr>
            </w:pPr>
            <w:r>
              <w:rPr>
                <w:rFonts w:hint="eastAsia" w:ascii="宋体" w:hAnsi="宋体"/>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建筑工程有监理通知，已经按照要求在规定时间内整改，符合要求。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320" w:lineRule="exact"/>
              <w:jc w:val="lef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20" w:lineRule="exact"/>
              <w:jc w:val="left"/>
              <w:rPr>
                <w:rFonts w:ascii="宋体" w:hAnsi="宋体"/>
                <w:b/>
                <w:sz w:val="21"/>
                <w:szCs w:val="21"/>
              </w:rPr>
            </w:pPr>
            <w:r>
              <w:rPr>
                <w:rFonts w:hint="eastAsia" w:ascii="宋体" w:hAnsi="宋体"/>
                <w:b/>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tabs>
                <w:tab w:val="left" w:pos="2552"/>
              </w:tabs>
              <w:spacing w:line="320" w:lineRule="exact"/>
              <w:ind w:firstLine="310" w:firstLineChars="147"/>
              <w:jc w:val="left"/>
              <w:rPr>
                <w:rFonts w:ascii="宋体" w:hAnsi="宋体"/>
                <w:b/>
                <w:sz w:val="21"/>
                <w:szCs w:val="21"/>
              </w:rPr>
            </w:pPr>
            <w:r>
              <w:rPr>
                <w:rFonts w:hint="eastAsia" w:ascii="宋体" w:hAnsi="宋体"/>
                <w:b/>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ind w:left="211" w:hanging="211" w:hangingChars="100"/>
              <w:jc w:val="left"/>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w:t>
            </w:r>
          </w:p>
          <w:p>
            <w:pPr>
              <w:spacing w:line="320" w:lineRule="exact"/>
              <w:jc w:val="left"/>
              <w:rPr>
                <w:rFonts w:ascii="宋体" w:hAnsi="宋体"/>
                <w:b/>
                <w:sz w:val="21"/>
                <w:szCs w:val="21"/>
              </w:rPr>
            </w:pPr>
            <w:r>
              <w:rPr>
                <w:rFonts w:hint="eastAsia" w:ascii="宋体" w:hAnsi="宋体"/>
                <w:b/>
                <w:sz w:val="21"/>
                <w:szCs w:val="21"/>
              </w:rPr>
              <w:t>组织识别了紧急情况，应急准备和响应为潜在火灾，识别合理、有效。编制有应急预案，并组织了应急演练，并对应急预案进行了评价。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hint="default" w:ascii="宋体" w:hAnsi="宋体" w:eastAsia="宋体"/>
                <w:b/>
                <w:color w:val="auto"/>
                <w:sz w:val="21"/>
                <w:szCs w:val="21"/>
                <w:lang w:val="en-US"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color w:val="auto"/>
                <w:sz w:val="21"/>
                <w:szCs w:val="21"/>
                <w:lang w:val="en-US" w:eastAsia="zh-CN"/>
              </w:rPr>
              <w:t>公司压力表、安全阀、锅炉通过检定提供证书</w:t>
            </w:r>
          </w:p>
          <w:p>
            <w:pPr>
              <w:spacing w:line="320" w:lineRule="exact"/>
              <w:ind w:left="240" w:leftChars="100" w:firstLine="105" w:firstLineChars="50"/>
              <w:jc w:val="left"/>
              <w:rPr>
                <w:rFonts w:ascii="宋体" w:hAnsi="宋体"/>
                <w:b/>
                <w:sz w:val="21"/>
                <w:szCs w:val="21"/>
              </w:rPr>
            </w:pPr>
            <w:r>
              <w:rPr>
                <w:rFonts w:hint="eastAsia" w:ascii="宋体" w:hAnsi="宋体"/>
                <w:b/>
                <w:sz w:val="21"/>
                <w:szCs w:val="21"/>
              </w:rPr>
              <w:t>无</w:t>
            </w:r>
            <w:r>
              <w:rPr>
                <w:rFonts w:hint="eastAsia" w:ascii="宋体" w:hAnsi="宋体"/>
                <w:b/>
                <w:sz w:val="21"/>
                <w:szCs w:val="21"/>
                <w:lang w:val="en-US" w:eastAsia="zh-CN"/>
              </w:rPr>
              <w:t>其他</w:t>
            </w:r>
            <w:r>
              <w:rPr>
                <w:rFonts w:hint="eastAsia" w:ascii="宋体" w:hAnsi="宋体"/>
                <w:b/>
                <w:sz w:val="21"/>
                <w:szCs w:val="21"/>
              </w:rPr>
              <w:t>特种设备，</w:t>
            </w:r>
            <w:r>
              <w:rPr>
                <w:rFonts w:hint="eastAsia" w:ascii="宋体" w:hAnsi="宋体"/>
                <w:b/>
                <w:sz w:val="21"/>
                <w:szCs w:val="21"/>
                <w:lang w:val="en-US" w:eastAsia="zh-CN"/>
              </w:rPr>
              <w:t>特种</w:t>
            </w:r>
            <w:r>
              <w:rPr>
                <w:rFonts w:hint="eastAsia" w:ascii="宋体" w:hAnsi="宋体"/>
                <w:b/>
                <w:sz w:val="21"/>
                <w:szCs w:val="21"/>
              </w:rPr>
              <w:t>设备管理</w:t>
            </w:r>
            <w:r>
              <w:rPr>
                <w:rFonts w:hint="eastAsia" w:ascii="宋体" w:hAnsi="宋体"/>
                <w:b/>
                <w:sz w:val="21"/>
                <w:szCs w:val="21"/>
                <w:lang w:val="en-US" w:eastAsia="zh-CN"/>
              </w:rPr>
              <w:t>基本</w:t>
            </w:r>
            <w:r>
              <w:rPr>
                <w:rFonts w:hint="eastAsia" w:ascii="宋体" w:hAnsi="宋体"/>
                <w:b/>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vAlign w:val="center"/>
          </w:tcPr>
          <w:p>
            <w:pPr>
              <w:spacing w:line="320" w:lineRule="exact"/>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20" w:lineRule="exact"/>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720" w:type="dxa"/>
            <w:vMerge w:val="restart"/>
            <w:textDirection w:val="tbRlV"/>
            <w:vAlign w:val="center"/>
          </w:tcPr>
          <w:p>
            <w:pPr>
              <w:spacing w:line="320" w:lineRule="exact"/>
              <w:ind w:left="113" w:right="113"/>
              <w:jc w:val="left"/>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20" w:lineRule="exact"/>
              <w:ind w:left="105" w:hanging="105" w:hangingChars="50"/>
              <w:jc w:val="left"/>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20" w:lineRule="exact"/>
              <w:ind w:firstLine="310" w:firstLineChars="147"/>
              <w:jc w:val="left"/>
              <w:rPr>
                <w:rFonts w:ascii="宋体" w:hAnsi="宋体"/>
                <w:b/>
                <w:sz w:val="21"/>
                <w:szCs w:val="21"/>
              </w:rPr>
            </w:pPr>
            <w:r>
              <w:rPr>
                <w:rFonts w:hint="eastAsia" w:ascii="宋体" w:hAnsi="宋体"/>
                <w:b/>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b/>
                <w:sz w:val="21"/>
                <w:szCs w:val="21"/>
                <w:lang w:val="en-US" w:eastAsia="zh-CN"/>
              </w:rPr>
              <w:t>20</w:t>
            </w:r>
            <w:r>
              <w:rPr>
                <w:rFonts w:hint="eastAsia" w:ascii="宋体" w:hAnsi="宋体"/>
                <w:b/>
                <w:sz w:val="21"/>
                <w:szCs w:val="21"/>
              </w:rPr>
              <w:t>年1-12月目标的测量，总体已达到或超过了规定的目标值。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ind w:left="105" w:hanging="105" w:hangingChars="50"/>
              <w:jc w:val="left"/>
              <w:rPr>
                <w:rFonts w:ascii="宋体" w:hAnsi="宋体"/>
                <w:b/>
                <w:sz w:val="21"/>
                <w:szCs w:val="21"/>
              </w:rPr>
            </w:pPr>
            <w:r>
              <w:rPr>
                <w:rFonts w:ascii="宋体" w:hAnsi="宋体"/>
                <w:b/>
                <w:sz w:val="21"/>
                <w:szCs w:val="21"/>
              </w:rPr>
              <w:t>2.</w:t>
            </w:r>
            <w:r>
              <w:rPr>
                <w:rFonts w:hint="eastAsia" w:ascii="宋体" w:hAnsi="宋体"/>
                <w:b/>
                <w:sz w:val="21"/>
                <w:szCs w:val="21"/>
              </w:rPr>
              <w:t>顾客满意</w:t>
            </w:r>
          </w:p>
          <w:p>
            <w:pPr>
              <w:spacing w:line="280" w:lineRule="exact"/>
              <w:ind w:firstLine="422" w:firstLineChars="200"/>
              <w:rPr>
                <w:rFonts w:ascii="宋体" w:hAnsi="宋体"/>
                <w:b/>
                <w:color w:val="000000"/>
                <w:sz w:val="21"/>
                <w:szCs w:val="21"/>
              </w:rPr>
            </w:pPr>
            <w:r>
              <w:rPr>
                <w:rFonts w:hint="eastAsia" w:ascii="宋体" w:hAnsi="宋体"/>
                <w:b/>
                <w:sz w:val="21"/>
                <w:szCs w:val="21"/>
              </w:rPr>
              <w:t>公</w:t>
            </w:r>
            <w:r>
              <w:rPr>
                <w:rFonts w:hint="eastAsia" w:ascii="宋体" w:hAnsi="宋体"/>
                <w:b/>
                <w:color w:val="000000"/>
                <w:sz w:val="21"/>
                <w:szCs w:val="21"/>
              </w:rPr>
              <w:t>公司已建立和保持了《顾客满意度测定程序》，对顾客满意的监测的相关内容进行了规定，其包括了对调查方式、渠道、内容、频率等。</w:t>
            </w:r>
          </w:p>
          <w:p>
            <w:pPr>
              <w:spacing w:line="280" w:lineRule="exact"/>
              <w:ind w:firstLine="422" w:firstLineChars="200"/>
              <w:rPr>
                <w:rFonts w:ascii="宋体" w:hAnsi="宋体"/>
                <w:b/>
                <w:color w:val="000000"/>
                <w:sz w:val="21"/>
                <w:szCs w:val="21"/>
              </w:rPr>
            </w:pPr>
            <w:r>
              <w:rPr>
                <w:rFonts w:hint="eastAsia" w:ascii="宋体" w:hAnsi="宋体"/>
                <w:b/>
                <w:color w:val="000000"/>
                <w:sz w:val="21"/>
                <w:szCs w:val="21"/>
              </w:rPr>
              <w:t>公司于内审前采取对主要顾客进行满意度调查的形式，</w:t>
            </w:r>
            <w:r>
              <w:rPr>
                <w:rFonts w:hint="eastAsia" w:ascii="宋体" w:hAnsi="宋体"/>
                <w:b/>
                <w:color w:val="000000"/>
                <w:sz w:val="21"/>
                <w:szCs w:val="21"/>
                <w:lang w:val="en-US" w:eastAsia="zh-CN"/>
              </w:rPr>
              <w:t>2020年</w:t>
            </w:r>
            <w:r>
              <w:rPr>
                <w:rFonts w:hint="eastAsia" w:ascii="宋体" w:hAnsi="宋体"/>
                <w:b/>
                <w:color w:val="000000"/>
                <w:sz w:val="21"/>
                <w:szCs w:val="21"/>
              </w:rPr>
              <w:t>《顾客满意度调查表》，有效回收：</w:t>
            </w:r>
          </w:p>
          <w:p>
            <w:pPr>
              <w:spacing w:line="280" w:lineRule="exact"/>
              <w:ind w:firstLine="422" w:firstLineChars="200"/>
              <w:rPr>
                <w:rFonts w:ascii="宋体" w:hAnsi="宋体"/>
                <w:b/>
                <w:color w:val="000000"/>
                <w:sz w:val="21"/>
                <w:szCs w:val="21"/>
              </w:rPr>
            </w:pPr>
            <w:r>
              <w:rPr>
                <w:rFonts w:hint="eastAsia" w:ascii="宋体" w:hAnsi="宋体"/>
                <w:b/>
                <w:color w:val="000000"/>
                <w:sz w:val="21"/>
                <w:szCs w:val="21"/>
              </w:rPr>
              <w:t>兰州市安宁区教育局、兰州市七里河区教育局、西固区教育局等，调查内容有：产品和服务质量、价格水平、服务态度等，查阅《顾客满意程度调查表》。</w:t>
            </w:r>
          </w:p>
          <w:p>
            <w:pPr>
              <w:tabs>
                <w:tab w:val="left" w:pos="4110"/>
              </w:tabs>
              <w:spacing w:line="280" w:lineRule="exact"/>
              <w:ind w:firstLine="422" w:firstLineChars="200"/>
              <w:rPr>
                <w:rFonts w:ascii="宋体" w:hAnsi="宋体"/>
                <w:b/>
                <w:color w:val="000000"/>
                <w:sz w:val="21"/>
                <w:szCs w:val="21"/>
              </w:rPr>
            </w:pPr>
            <w:r>
              <w:rPr>
                <w:rFonts w:hint="eastAsia" w:ascii="宋体" w:hAnsi="宋体"/>
                <w:b/>
                <w:color w:val="000000"/>
                <w:sz w:val="21"/>
                <w:szCs w:val="21"/>
              </w:rPr>
              <w:t>对每一调查内容按百分制统计和计算。</w:t>
            </w:r>
            <w:r>
              <w:rPr>
                <w:rFonts w:ascii="宋体" w:hAnsi="宋体"/>
                <w:b/>
                <w:color w:val="000000"/>
                <w:sz w:val="21"/>
                <w:szCs w:val="21"/>
              </w:rPr>
              <w:tab/>
            </w:r>
            <w:r>
              <w:rPr>
                <w:rFonts w:hint="eastAsia" w:ascii="宋体" w:hAnsi="宋体"/>
                <w:b/>
                <w:color w:val="000000"/>
                <w:sz w:val="21"/>
                <w:szCs w:val="21"/>
              </w:rPr>
              <w:t>查《顾客满意程度调查表》，记录真实有效。</w:t>
            </w:r>
          </w:p>
          <w:p>
            <w:pPr>
              <w:spacing w:line="320" w:lineRule="exact"/>
              <w:jc w:val="left"/>
              <w:rPr>
                <w:rFonts w:ascii="宋体" w:hAnsi="宋体"/>
                <w:b/>
                <w:sz w:val="21"/>
                <w:szCs w:val="21"/>
              </w:rPr>
            </w:pPr>
            <w:r>
              <w:rPr>
                <w:rFonts w:hint="eastAsia" w:ascii="宋体" w:hAnsi="宋体"/>
                <w:b/>
                <w:color w:val="000000"/>
                <w:sz w:val="21"/>
                <w:szCs w:val="21"/>
              </w:rPr>
              <w:t>提供《顾客满意度统计分析表》，顾客满意率</w:t>
            </w:r>
            <w:r>
              <w:rPr>
                <w:rFonts w:hint="eastAsia" w:ascii="宋体" w:hAnsi="宋体"/>
                <w:b/>
                <w:color w:val="000000"/>
                <w:sz w:val="21"/>
                <w:szCs w:val="21"/>
                <w:lang w:val="en-US" w:eastAsia="zh-CN"/>
              </w:rPr>
              <w:t>98</w:t>
            </w:r>
            <w:r>
              <w:rPr>
                <w:rFonts w:hint="eastAsia" w:ascii="宋体" w:hAnsi="宋体" w:eastAsia="宋体" w:cs="宋体"/>
                <w:b/>
                <w:color w:val="000000"/>
                <w:sz w:val="21"/>
                <w:szCs w:val="21"/>
                <w:lang w:val="en-US" w:eastAsia="zh-CN"/>
              </w:rPr>
              <w:t>％</w:t>
            </w:r>
            <w:r>
              <w:rPr>
                <w:rFonts w:hint="eastAsia" w:ascii="宋体" w:hAnsi="宋体"/>
                <w:b/>
                <w:color w:val="000000"/>
                <w:sz w:val="21"/>
                <w:szCs w:val="21"/>
              </w:rPr>
              <w:t>达到了质量目标的要求。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20" w:lineRule="exact"/>
              <w:jc w:val="left"/>
              <w:rPr>
                <w:rFonts w:ascii="宋体" w:hAnsi="宋体"/>
                <w:b/>
                <w:sz w:val="21"/>
                <w:szCs w:val="21"/>
              </w:rPr>
            </w:pPr>
            <w:r>
              <w:rPr>
                <w:rFonts w:hint="eastAsia" w:ascii="宋体" w:hAnsi="宋体"/>
                <w:b/>
                <w:sz w:val="21"/>
                <w:szCs w:val="21"/>
              </w:rPr>
              <w:t>建立有《内部审核控制程序》，规定了内审频次一年一次，内审时间：20</w:t>
            </w:r>
            <w:r>
              <w:rPr>
                <w:rFonts w:hint="eastAsia" w:ascii="宋体" w:hAnsi="宋体"/>
                <w:b/>
                <w:sz w:val="21"/>
                <w:szCs w:val="21"/>
                <w:lang w:val="en-US" w:eastAsia="zh-CN"/>
              </w:rPr>
              <w:t>20</w:t>
            </w:r>
            <w:r>
              <w:rPr>
                <w:rFonts w:hint="eastAsia" w:ascii="宋体" w:hAnsi="宋体"/>
                <w:b/>
                <w:sz w:val="21"/>
                <w:szCs w:val="21"/>
              </w:rPr>
              <w:t>年12月</w:t>
            </w:r>
            <w:r>
              <w:rPr>
                <w:rFonts w:hint="eastAsia" w:ascii="宋体" w:hAnsi="宋体"/>
                <w:b/>
                <w:sz w:val="21"/>
                <w:szCs w:val="21"/>
                <w:lang w:val="en-US" w:eastAsia="zh-CN"/>
              </w:rPr>
              <w:t>2</w:t>
            </w:r>
            <w:r>
              <w:rPr>
                <w:rFonts w:hint="eastAsia" w:ascii="宋体" w:hAnsi="宋体"/>
                <w:b/>
                <w:sz w:val="21"/>
                <w:szCs w:val="21"/>
              </w:rPr>
              <w:t>-</w:t>
            </w:r>
            <w:r>
              <w:rPr>
                <w:rFonts w:hint="eastAsia" w:ascii="宋体" w:hAnsi="宋体"/>
                <w:b/>
                <w:sz w:val="21"/>
                <w:szCs w:val="21"/>
                <w:lang w:val="en-US" w:eastAsia="zh-CN"/>
              </w:rPr>
              <w:t>3</w:t>
            </w:r>
            <w:r>
              <w:rPr>
                <w:rFonts w:hint="eastAsia" w:ascii="宋体" w:hAnsi="宋体"/>
                <w:b/>
                <w:sz w:val="21"/>
                <w:szCs w:val="21"/>
              </w:rPr>
              <w:t>日，拟定了审核实施表，明确了内审范围，内审人员经培训合格上岗，能力满足要求，未出现审核本部门情况.内审不符合项1项，涉及行政部</w:t>
            </w:r>
            <w:r>
              <w:rPr>
                <w:rFonts w:hint="eastAsia" w:ascii="宋体" w:hAnsi="宋体"/>
                <w:b/>
                <w:sz w:val="21"/>
                <w:szCs w:val="21"/>
                <w:lang w:val="en-US" w:eastAsia="zh-CN"/>
              </w:rPr>
              <w:t>QO7.5</w:t>
            </w:r>
            <w:r>
              <w:rPr>
                <w:rFonts w:hint="eastAsia" w:ascii="宋体" w:hAnsi="宋体"/>
                <w:b/>
                <w:sz w:val="21"/>
                <w:szCs w:val="21"/>
              </w:rPr>
              <w:t>条款，针对该不符合项，已及时采取纠正措施后，经内审员验证关闭。内审的有效性需要改善。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720" w:type="dxa"/>
            <w:vMerge w:val="continue"/>
            <w:textDirection w:val="tbRlV"/>
            <w:vAlign w:val="center"/>
          </w:tcPr>
          <w:p>
            <w:pPr>
              <w:spacing w:line="320" w:lineRule="exact"/>
              <w:ind w:left="113" w:right="113"/>
              <w:jc w:val="left"/>
              <w:rPr>
                <w:b/>
                <w:szCs w:val="21"/>
              </w:rPr>
            </w:pPr>
          </w:p>
        </w:tc>
        <w:tc>
          <w:tcPr>
            <w:tcW w:w="9198" w:type="dxa"/>
          </w:tcPr>
          <w:p>
            <w:pPr>
              <w:spacing w:line="320" w:lineRule="exact"/>
              <w:jc w:val="lef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20" w:lineRule="exact"/>
              <w:ind w:firstLine="422" w:firstLineChars="200"/>
              <w:jc w:val="left"/>
              <w:rPr>
                <w:rFonts w:ascii="宋体" w:hAnsi="宋体"/>
                <w:b/>
                <w:sz w:val="21"/>
                <w:szCs w:val="21"/>
              </w:rPr>
            </w:pPr>
            <w:r>
              <w:rPr>
                <w:rFonts w:hint="eastAsia" w:ascii="宋体" w:hAnsi="宋体"/>
                <w:b/>
                <w:sz w:val="21"/>
                <w:szCs w:val="21"/>
              </w:rPr>
              <w:t>管理评审频次为一年一次、本次管理评审于2019年12月20日由总经理主持完成、提供主要输入材料有各部门总结、目标完成结果、合规性评价等信息，输入信息基本充分和满足要求。输出见“管理评审报告”, 做出了管理体系基本适宜、充分和有效的评审结论。管理评审的</w:t>
            </w:r>
            <w:r>
              <w:rPr>
                <w:rFonts w:hint="eastAsia" w:ascii="宋体" w:hAnsi="宋体"/>
                <w:b/>
                <w:sz w:val="21"/>
                <w:szCs w:val="21"/>
                <w:lang w:val="en-US" w:eastAsia="zh-CN"/>
              </w:rPr>
              <w:t>提出的改进措施</w:t>
            </w:r>
            <w:r>
              <w:rPr>
                <w:rFonts w:hint="eastAsia" w:ascii="宋体" w:hAnsi="宋体"/>
                <w:b/>
                <w:sz w:val="21"/>
                <w:szCs w:val="21"/>
              </w:rPr>
              <w:t>欠具体，需改善。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320" w:lineRule="exact"/>
              <w:jc w:val="left"/>
              <w:rPr>
                <w:rFonts w:ascii="宋体" w:hAnsi="宋体"/>
                <w:b/>
                <w:sz w:val="21"/>
                <w:szCs w:val="21"/>
              </w:rPr>
            </w:pPr>
            <w:r>
              <w:rPr>
                <w:rFonts w:hint="eastAsia" w:ascii="宋体" w:hAnsi="宋体"/>
                <w:b/>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ind w:left="105" w:hanging="105" w:hangingChars="50"/>
              <w:jc w:val="left"/>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320" w:lineRule="exact"/>
              <w:jc w:val="left"/>
              <w:rPr>
                <w:rFonts w:ascii="宋体" w:hAnsi="宋体"/>
                <w:b/>
                <w:sz w:val="21"/>
                <w:szCs w:val="21"/>
              </w:rPr>
            </w:pPr>
            <w:r>
              <w:rPr>
                <w:rFonts w:hint="eastAsia" w:ascii="宋体" w:hAnsi="宋体"/>
                <w:b/>
                <w:sz w:val="21"/>
                <w:szCs w:val="21"/>
              </w:rPr>
              <w:t>本次审核不涉及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ind w:left="105" w:hanging="105" w:hangingChars="50"/>
              <w:jc w:val="left"/>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20" w:lineRule="exact"/>
              <w:jc w:val="left"/>
              <w:rPr>
                <w:rFonts w:ascii="宋体" w:hAnsi="宋体"/>
                <w:b/>
                <w:sz w:val="21"/>
                <w:szCs w:val="21"/>
              </w:rPr>
            </w:pPr>
            <w:r>
              <w:rPr>
                <w:rFonts w:hint="eastAsia" w:ascii="宋体" w:hAnsi="宋体"/>
                <w:b/>
                <w:sz w:val="21"/>
                <w:szCs w:val="21"/>
              </w:rPr>
              <w:t>每月对生产车间及办公场所进行自查，对检查结果存在的不足进行纠正及考核，基本满足要求。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320" w:lineRule="exact"/>
              <w:jc w:val="left"/>
              <w:rPr>
                <w:rFonts w:hint="default" w:ascii="宋体" w:hAnsi="宋体" w:eastAsia="宋体"/>
                <w:b/>
                <w:sz w:val="21"/>
                <w:szCs w:val="21"/>
                <w:lang w:val="en-US" w:eastAsia="zh-CN"/>
              </w:rPr>
            </w:pPr>
            <w:r>
              <w:rPr>
                <w:rFonts w:hint="eastAsia" w:ascii="宋体" w:hAnsi="宋体"/>
                <w:b/>
                <w:sz w:val="21"/>
                <w:szCs w:val="21"/>
              </w:rPr>
              <w:t>管理者介绍20</w:t>
            </w:r>
            <w:r>
              <w:rPr>
                <w:rFonts w:hint="eastAsia" w:ascii="宋体" w:hAnsi="宋体"/>
                <w:b/>
                <w:sz w:val="21"/>
                <w:szCs w:val="21"/>
                <w:lang w:val="en-US" w:eastAsia="zh-CN"/>
              </w:rPr>
              <w:t>20</w:t>
            </w:r>
            <w:r>
              <w:rPr>
                <w:rFonts w:hint="eastAsia" w:ascii="宋体" w:hAnsi="宋体"/>
                <w:b/>
                <w:sz w:val="21"/>
                <w:szCs w:val="21"/>
              </w:rPr>
              <w:t>年</w:t>
            </w:r>
            <w:r>
              <w:rPr>
                <w:rFonts w:ascii="宋体" w:hAnsi="宋体"/>
                <w:b/>
                <w:sz w:val="21"/>
                <w:szCs w:val="21"/>
              </w:rPr>
              <w:t>有兰州食</w:t>
            </w:r>
            <w:r>
              <w:rPr>
                <w:rFonts w:hint="eastAsia" w:ascii="宋体" w:hAnsi="宋体"/>
                <w:b/>
                <w:sz w:val="21"/>
                <w:szCs w:val="21"/>
              </w:rPr>
              <w:t>、</w:t>
            </w:r>
            <w:r>
              <w:rPr>
                <w:rFonts w:ascii="宋体" w:hAnsi="宋体"/>
                <w:b/>
                <w:sz w:val="21"/>
                <w:szCs w:val="21"/>
              </w:rPr>
              <w:t>药监局人员来公司进行检查</w:t>
            </w:r>
            <w:r>
              <w:rPr>
                <w:rFonts w:hint="eastAsia" w:ascii="宋体" w:hAnsi="宋体"/>
                <w:b/>
                <w:sz w:val="21"/>
                <w:szCs w:val="21"/>
              </w:rPr>
              <w:t>，如果</w:t>
            </w:r>
            <w:r>
              <w:rPr>
                <w:rFonts w:hint="eastAsia" w:ascii="宋体" w:hAnsi="宋体"/>
                <w:b/>
                <w:sz w:val="21"/>
                <w:szCs w:val="21"/>
                <w:lang w:val="en-US" w:eastAsia="zh-CN"/>
              </w:rPr>
              <w:t>检查</w:t>
            </w:r>
            <w:r>
              <w:rPr>
                <w:rFonts w:hint="eastAsia" w:ascii="宋体" w:hAnsi="宋体"/>
                <w:b/>
                <w:sz w:val="21"/>
                <w:szCs w:val="21"/>
              </w:rPr>
              <w:t>有不符合的情况发生，监察部门会提出整改通知单等，</w:t>
            </w:r>
            <w:r>
              <w:rPr>
                <w:rFonts w:ascii="宋体" w:hAnsi="宋体"/>
                <w:b/>
                <w:sz w:val="21"/>
                <w:szCs w:val="21"/>
              </w:rPr>
              <w:t>但未发生不符合的情况</w:t>
            </w:r>
            <w:r>
              <w:rPr>
                <w:rFonts w:hint="eastAsia" w:ascii="宋体" w:hAnsi="宋体"/>
                <w:b/>
                <w:sz w:val="21"/>
                <w:szCs w:val="21"/>
              </w:rPr>
              <w:t>。</w:t>
            </w:r>
            <w:r>
              <w:rPr>
                <w:rFonts w:ascii="宋体" w:hAnsi="宋体"/>
                <w:b/>
                <w:sz w:val="21"/>
                <w:szCs w:val="21"/>
              </w:rPr>
              <w:t>兰州食</w:t>
            </w:r>
            <w:r>
              <w:rPr>
                <w:rFonts w:hint="eastAsia" w:ascii="宋体" w:hAnsi="宋体"/>
                <w:b/>
                <w:sz w:val="21"/>
                <w:szCs w:val="21"/>
              </w:rPr>
              <w:t>、</w:t>
            </w:r>
            <w:r>
              <w:rPr>
                <w:rFonts w:ascii="宋体" w:hAnsi="宋体"/>
                <w:b/>
                <w:sz w:val="21"/>
                <w:szCs w:val="21"/>
              </w:rPr>
              <w:t>药监局人员</w:t>
            </w:r>
            <w:r>
              <w:rPr>
                <w:rFonts w:hint="eastAsia" w:ascii="宋体" w:hAnsi="宋体"/>
                <w:b/>
                <w:sz w:val="21"/>
                <w:szCs w:val="21"/>
                <w:lang w:val="en-US" w:eastAsia="zh-CN"/>
              </w:rPr>
              <w:t>未提出整改通知等不符合情况的发生。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20" w:type="dxa"/>
            <w:vMerge w:val="continue"/>
            <w:vAlign w:val="center"/>
          </w:tcPr>
          <w:p>
            <w:pPr>
              <w:spacing w:line="320" w:lineRule="exact"/>
              <w:jc w:val="left"/>
              <w:rPr>
                <w:b/>
                <w:sz w:val="20"/>
              </w:rPr>
            </w:pPr>
          </w:p>
        </w:tc>
        <w:tc>
          <w:tcPr>
            <w:tcW w:w="9198" w:type="dxa"/>
          </w:tcPr>
          <w:p>
            <w:pPr>
              <w:widowControl/>
              <w:spacing w:line="320" w:lineRule="exact"/>
              <w:jc w:val="lef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320" w:lineRule="exact"/>
              <w:jc w:val="left"/>
              <w:rPr>
                <w:rFonts w:hint="default" w:ascii="宋体" w:hAnsi="宋体" w:eastAsia="宋体"/>
                <w:b/>
                <w:sz w:val="21"/>
                <w:szCs w:val="21"/>
                <w:lang w:val="en-US" w:eastAsia="zh-CN"/>
              </w:rPr>
            </w:pPr>
            <w:r>
              <w:rPr>
                <w:rFonts w:hint="eastAsia" w:ascii="宋体" w:hAnsi="宋体"/>
                <w:b/>
                <w:sz w:val="21"/>
                <w:szCs w:val="21"/>
              </w:rPr>
              <w:t>公司近一年来的早餐配送</w:t>
            </w:r>
            <w:r>
              <w:rPr>
                <w:rFonts w:hint="eastAsia" w:ascii="宋体" w:hAnsi="宋体"/>
                <w:b/>
                <w:sz w:val="21"/>
                <w:szCs w:val="21"/>
                <w:lang w:val="en-US" w:eastAsia="zh-CN"/>
              </w:rPr>
              <w:t>由第三方抽查未发生不符合情况，出具的面包、花卷等食品检测报告均合格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320" w:lineRule="exact"/>
              <w:ind w:left="113" w:right="113"/>
              <w:jc w:val="left"/>
              <w:rPr>
                <w:rFonts w:ascii="宋体" w:hAnsi="宋体"/>
                <w:b/>
                <w:szCs w:val="21"/>
              </w:rPr>
            </w:pPr>
            <w:r>
              <w:rPr>
                <w:rFonts w:hint="eastAsia" w:ascii="宋体" w:hAnsi="宋体"/>
                <w:b/>
                <w:szCs w:val="21"/>
              </w:rPr>
              <w:t>(五)持</w:t>
            </w:r>
          </w:p>
          <w:p>
            <w:pPr>
              <w:spacing w:line="320" w:lineRule="exact"/>
              <w:ind w:left="113" w:right="113"/>
              <w:jc w:val="left"/>
              <w:rPr>
                <w:rFonts w:ascii="宋体" w:hAnsi="宋体"/>
                <w:b/>
                <w:szCs w:val="21"/>
              </w:rPr>
            </w:pPr>
            <w:r>
              <w:rPr>
                <w:rFonts w:hint="eastAsia" w:ascii="宋体" w:hAnsi="宋体"/>
                <w:b/>
                <w:szCs w:val="21"/>
              </w:rPr>
              <w:t>续</w:t>
            </w:r>
          </w:p>
          <w:p>
            <w:pPr>
              <w:spacing w:line="320" w:lineRule="exact"/>
              <w:ind w:left="113" w:right="113"/>
              <w:jc w:val="left"/>
              <w:rPr>
                <w:rFonts w:ascii="宋体" w:hAnsi="宋体"/>
                <w:b/>
                <w:szCs w:val="21"/>
              </w:rPr>
            </w:pPr>
            <w:r>
              <w:rPr>
                <w:rFonts w:hint="eastAsia" w:ascii="宋体" w:hAnsi="宋体"/>
                <w:b/>
                <w:szCs w:val="21"/>
              </w:rPr>
              <w:t>改</w:t>
            </w:r>
          </w:p>
          <w:p>
            <w:pPr>
              <w:spacing w:line="320" w:lineRule="exact"/>
              <w:ind w:left="113" w:right="113"/>
              <w:jc w:val="left"/>
              <w:rPr>
                <w:b/>
                <w:sz w:val="20"/>
              </w:rPr>
            </w:pPr>
            <w:r>
              <w:rPr>
                <w:rFonts w:hint="eastAsia" w:ascii="宋体" w:hAnsi="宋体"/>
                <w:b/>
                <w:szCs w:val="21"/>
              </w:rPr>
              <w:t>进</w:t>
            </w:r>
          </w:p>
        </w:tc>
        <w:tc>
          <w:tcPr>
            <w:tcW w:w="9198" w:type="dxa"/>
          </w:tcPr>
          <w:p>
            <w:pPr>
              <w:spacing w:line="320" w:lineRule="exact"/>
              <w:jc w:val="lef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20" w:lineRule="exact"/>
              <w:jc w:val="left"/>
              <w:rPr>
                <w:rFonts w:ascii="宋体" w:hAnsi="宋体"/>
                <w:b/>
                <w:sz w:val="21"/>
                <w:szCs w:val="21"/>
              </w:rPr>
            </w:pPr>
            <w:r>
              <w:rPr>
                <w:rFonts w:hint="eastAsia" w:ascii="宋体" w:hAnsi="宋体"/>
                <w:b/>
                <w:sz w:val="21"/>
                <w:szCs w:val="21"/>
              </w:rPr>
              <w:t>公司明确通过对内、外部审核结果、管理评审输出、监理通知、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20" w:lineRule="exact"/>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320" w:lineRule="exact"/>
              <w:jc w:val="left"/>
              <w:rPr>
                <w:rFonts w:ascii="宋体" w:hAnsi="宋体"/>
                <w:b/>
                <w:sz w:val="21"/>
                <w:szCs w:val="21"/>
              </w:rPr>
            </w:pPr>
            <w:r>
              <w:rPr>
                <w:rFonts w:ascii="宋体" w:hAnsi="宋体"/>
                <w:b/>
                <w:sz w:val="21"/>
                <w:szCs w:val="21"/>
              </w:rPr>
              <w:t>无重大创新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720" w:type="dxa"/>
            <w:vMerge w:val="continue"/>
            <w:vAlign w:val="center"/>
          </w:tcPr>
          <w:p>
            <w:pPr>
              <w:spacing w:line="320" w:lineRule="exact"/>
              <w:jc w:val="left"/>
              <w:rPr>
                <w:b/>
                <w:sz w:val="20"/>
              </w:rPr>
            </w:pPr>
          </w:p>
        </w:tc>
        <w:tc>
          <w:tcPr>
            <w:tcW w:w="9198" w:type="dxa"/>
          </w:tcPr>
          <w:p>
            <w:pPr>
              <w:spacing w:line="320" w:lineRule="exact"/>
              <w:jc w:val="lef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320" w:lineRule="exact"/>
              <w:jc w:val="left"/>
              <w:rPr>
                <w:rFonts w:ascii="宋体" w:hAnsi="宋体"/>
                <w:b/>
                <w:sz w:val="21"/>
                <w:szCs w:val="21"/>
              </w:rPr>
            </w:pPr>
            <w:r>
              <w:rPr>
                <w:rFonts w:ascii="宋体" w:hAnsi="宋体"/>
                <w:b/>
                <w:sz w:val="21"/>
                <w:szCs w:val="21"/>
              </w:rPr>
              <w:t>对</w:t>
            </w:r>
            <w:r>
              <w:rPr>
                <w:rFonts w:hint="eastAsia" w:ascii="宋体" w:hAnsi="宋体"/>
                <w:b/>
                <w:sz w:val="21"/>
                <w:szCs w:val="21"/>
                <w:lang w:val="en-US" w:eastAsia="zh-CN"/>
              </w:rPr>
              <w:t>上一年度审核</w:t>
            </w:r>
            <w:r>
              <w:rPr>
                <w:rFonts w:ascii="宋体" w:hAnsi="宋体"/>
                <w:b/>
                <w:sz w:val="21"/>
                <w:szCs w:val="21"/>
              </w:rPr>
              <w:t>发现的</w:t>
            </w:r>
            <w:r>
              <w:rPr>
                <w:rFonts w:hint="eastAsia" w:ascii="宋体" w:hAnsi="宋体"/>
                <w:b/>
                <w:sz w:val="21"/>
                <w:szCs w:val="21"/>
              </w:rPr>
              <w:t>一项一般不符合，经现场验证纠正措施实施基本有效。</w:t>
            </w:r>
          </w:p>
        </w:tc>
      </w:tr>
    </w:tbl>
    <w:p>
      <w:pPr>
        <w:tabs>
          <w:tab w:val="left" w:pos="645"/>
        </w:tabs>
        <w:spacing w:afterLines="50" w:line="320" w:lineRule="exact"/>
        <w:jc w:val="left"/>
        <w:rPr>
          <w:b/>
          <w:sz w:val="26"/>
          <w:szCs w:val="26"/>
        </w:rPr>
      </w:pPr>
    </w:p>
    <w:p>
      <w:pPr>
        <w:tabs>
          <w:tab w:val="left" w:pos="645"/>
        </w:tabs>
        <w:spacing w:afterLines="50" w:line="320" w:lineRule="exact"/>
        <w:jc w:val="left"/>
        <w:rPr>
          <w:b/>
          <w:sz w:val="16"/>
          <w:szCs w:val="16"/>
        </w:rPr>
      </w:pPr>
      <w:r>
        <w:rPr>
          <w:rFonts w:hint="eastAsia"/>
          <w:b/>
          <w:sz w:val="26"/>
          <w:szCs w:val="26"/>
        </w:rPr>
        <w:t>七、其它需要说明的问题</w:t>
      </w:r>
    </w:p>
    <w:p>
      <w:pPr>
        <w:snapToGrid w:val="0"/>
        <w:spacing w:line="320" w:lineRule="exact"/>
        <w:ind w:left="-211" w:leftChars="-88" w:firstLine="493" w:firstLineChars="223"/>
        <w:jc w:val="left"/>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20" w:lineRule="exact"/>
              <w:ind w:left="-211" w:leftChars="-88" w:firstLine="537" w:firstLineChars="223"/>
              <w:jc w:val="left"/>
              <w:rPr>
                <w:b/>
                <w:spacing w:val="-10"/>
                <w:szCs w:val="21"/>
              </w:rPr>
            </w:pPr>
            <w:r>
              <w:rPr>
                <w:rFonts w:hint="eastAsia" w:ascii="宋体" w:hAnsi="宋体"/>
                <w:b/>
                <w:szCs w:val="21"/>
              </w:rPr>
              <w:t>影响本次审核结论可靠性的因素</w:t>
            </w:r>
          </w:p>
        </w:tc>
        <w:tc>
          <w:tcPr>
            <w:tcW w:w="4712" w:type="dxa"/>
          </w:tcPr>
          <w:p>
            <w:pPr>
              <w:snapToGrid w:val="0"/>
              <w:spacing w:line="320" w:lineRule="exact"/>
              <w:ind w:left="-211" w:leftChars="-88" w:firstLine="537" w:firstLineChars="223"/>
              <w:jc w:val="left"/>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20" w:lineRule="exact"/>
              <w:ind w:left="-211" w:leftChars="-88" w:firstLine="493" w:firstLineChars="223"/>
              <w:jc w:val="left"/>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20" w:lineRule="exact"/>
              <w:ind w:left="-211" w:leftChars="-88" w:firstLine="537" w:firstLineChars="223"/>
              <w:jc w:val="lef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20" w:lineRule="exact"/>
              <w:ind w:left="-211" w:leftChars="-88" w:firstLine="493" w:firstLineChars="223"/>
              <w:jc w:val="left"/>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20" w:lineRule="exact"/>
              <w:ind w:left="-211" w:leftChars="-88" w:firstLine="537" w:firstLineChars="223"/>
              <w:jc w:val="left"/>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20" w:lineRule="exact"/>
              <w:ind w:left="-211" w:leftChars="-88" w:firstLine="493" w:firstLineChars="223"/>
              <w:jc w:val="left"/>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20" w:lineRule="exact"/>
              <w:ind w:left="-211" w:leftChars="-88" w:firstLine="537" w:firstLineChars="223"/>
              <w:jc w:val="left"/>
              <w:rPr>
                <w:rFonts w:ascii="宋体"/>
                <w:b/>
                <w:color w:val="FF0000"/>
                <w:szCs w:val="21"/>
              </w:rPr>
            </w:pPr>
          </w:p>
        </w:tc>
      </w:tr>
    </w:tbl>
    <w:p>
      <w:pPr>
        <w:snapToGrid w:val="0"/>
        <w:spacing w:line="320" w:lineRule="exact"/>
        <w:ind w:left="-211" w:leftChars="-88" w:firstLine="493" w:firstLineChars="223"/>
        <w:jc w:val="left"/>
        <w:rPr>
          <w:b/>
          <w:spacing w:val="-10"/>
          <w:szCs w:val="21"/>
        </w:rPr>
      </w:pPr>
    </w:p>
    <w:p>
      <w:pPr>
        <w:snapToGrid w:val="0"/>
        <w:spacing w:line="320" w:lineRule="exact"/>
        <w:ind w:left="-211" w:leftChars="-88" w:firstLine="493" w:firstLineChars="223"/>
        <w:jc w:val="left"/>
        <w:rPr>
          <w:rFonts w:ascii="宋体"/>
          <w:b/>
          <w:szCs w:val="21"/>
        </w:rPr>
      </w:pPr>
      <w:r>
        <w:rPr>
          <w:rFonts w:hint="eastAsia"/>
          <w:b/>
          <w:spacing w:val="-10"/>
          <w:szCs w:val="21"/>
        </w:rPr>
        <w:t>■</w:t>
      </w:r>
      <w:r>
        <w:rPr>
          <w:rFonts w:hint="eastAsia" w:ascii="宋体" w:hAnsi="宋体"/>
          <w:b/>
          <w:szCs w:val="21"/>
        </w:rPr>
        <w:t>达到审核目的</w:t>
      </w:r>
    </w:p>
    <w:p>
      <w:pPr>
        <w:snapToGrid w:val="0"/>
        <w:spacing w:line="320" w:lineRule="exact"/>
        <w:ind w:left="-211" w:leftChars="-88" w:firstLine="493" w:firstLineChars="223"/>
        <w:jc w:val="left"/>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20" w:lineRule="exact"/>
        <w:jc w:val="left"/>
        <w:rPr>
          <w:b/>
          <w:sz w:val="16"/>
          <w:szCs w:val="16"/>
        </w:rPr>
      </w:pPr>
      <w:r>
        <w:rPr>
          <w:rFonts w:hint="eastAsia"/>
          <w:b/>
          <w:sz w:val="26"/>
          <w:szCs w:val="26"/>
        </w:rPr>
        <w:t>八、本次审核不符合项</w:t>
      </w:r>
    </w:p>
    <w:p>
      <w:pPr>
        <w:spacing w:line="320" w:lineRule="exact"/>
        <w:ind w:left="420" w:leftChars="175" w:firstLine="101" w:firstLineChars="42"/>
        <w:jc w:val="left"/>
        <w:rPr>
          <w:rFonts w:hint="default" w:ascii="宋体" w:hAnsi="宋体" w:eastAsia="宋体"/>
          <w:b/>
          <w:szCs w:val="21"/>
          <w:lang w:val="en-US" w:eastAsia="zh-CN"/>
        </w:rPr>
      </w:pPr>
      <w:r>
        <w:rPr>
          <w:rFonts w:hint="eastAsia" w:ascii="宋体" w:hAnsi="宋体"/>
          <w:b/>
          <w:szCs w:val="21"/>
        </w:rPr>
        <w:t>本次审核共开具不符合项报告1项；其中</w:t>
      </w:r>
      <w:r>
        <w:rPr>
          <w:rFonts w:ascii="宋体" w:hAnsi="宋体"/>
          <w:b/>
          <w:szCs w:val="21"/>
        </w:rPr>
        <w:pict>
          <v:line id="直接连接符 1" o:spid="_x0000_s2053" o:spt="20" style="position:absolute;left:0pt;margin-left:210pt;margin-top:16.2pt;height:0pt;width:0.05pt;z-index:251664384;mso-width-relative:page;mso-height-relative:page;" coordsize="21600,21600" o:allowincell="f">
            <v:path arrowok="t"/>
            <v:fill focussize="0,0"/>
            <v:stroke/>
            <v:imagedata o:title=""/>
            <o:lock v:ext="edit"/>
          </v:line>
        </w:pict>
      </w:r>
      <w:r>
        <w:rPr>
          <w:rFonts w:hint="eastAsia" w:ascii="宋体" w:hAnsi="宋体"/>
          <w:b/>
          <w:szCs w:val="21"/>
        </w:rPr>
        <w:t>严重不符合0项，一般不符合1项，观察项1项分布在行政部部门条款，见不符合项分布表。（</w:t>
      </w:r>
      <w:r>
        <w:rPr>
          <w:rFonts w:ascii="宋体" w:hAnsi="宋体"/>
          <w:b/>
          <w:szCs w:val="21"/>
        </w:rPr>
        <w:t>Q/J/E/S</w:t>
      </w:r>
      <w:r>
        <w:rPr>
          <w:rFonts w:hint="eastAsia" w:ascii="宋体" w:hAnsi="宋体"/>
          <w:b/>
          <w:szCs w:val="21"/>
        </w:rPr>
        <w:t>分开填写）Q：</w:t>
      </w:r>
      <w:r>
        <w:rPr>
          <w:rFonts w:hint="eastAsia" w:ascii="宋体" w:hAnsi="宋体"/>
          <w:b/>
          <w:szCs w:val="21"/>
          <w:lang w:val="en-US" w:eastAsia="zh-CN"/>
        </w:rPr>
        <w:t>8</w:t>
      </w:r>
      <w:r>
        <w:rPr>
          <w:rFonts w:hint="eastAsia" w:ascii="宋体" w:hAnsi="宋体"/>
          <w:b/>
          <w:szCs w:val="21"/>
        </w:rPr>
        <w:t>.</w:t>
      </w:r>
      <w:r>
        <w:rPr>
          <w:rFonts w:hint="eastAsia" w:ascii="宋体" w:hAnsi="宋体"/>
          <w:b/>
          <w:szCs w:val="21"/>
          <w:lang w:val="en-US" w:eastAsia="zh-CN"/>
        </w:rPr>
        <w:t>4</w:t>
      </w:r>
      <w:r>
        <w:rPr>
          <w:rFonts w:hint="eastAsia" w:ascii="宋体" w:hAnsi="宋体"/>
          <w:b/>
          <w:szCs w:val="21"/>
        </w:rPr>
        <w:t>.2 ；O：</w:t>
      </w:r>
      <w:r>
        <w:rPr>
          <w:rFonts w:hint="eastAsia" w:ascii="宋体" w:hAnsi="宋体"/>
          <w:b/>
          <w:szCs w:val="21"/>
          <w:lang w:val="en-US" w:eastAsia="zh-CN"/>
        </w:rPr>
        <w:t>8.1</w:t>
      </w:r>
    </w:p>
    <w:p>
      <w:pPr>
        <w:tabs>
          <w:tab w:val="left" w:pos="645"/>
        </w:tabs>
        <w:spacing w:afterLines="50" w:line="320" w:lineRule="exact"/>
        <w:jc w:val="lef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320" w:lineRule="exact"/>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□50430□E</w:t>
            </w:r>
            <w:r>
              <w:rPr>
                <w:rFonts w:ascii="宋体" w:hAnsi="宋体"/>
                <w:b/>
                <w:szCs w:val="21"/>
              </w:rPr>
              <w:t xml:space="preserve">MS  </w:t>
            </w:r>
            <w:r>
              <w:rPr>
                <w:rFonts w:hint="eastAsia" w:ascii="宋体" w:hAnsi="宋体"/>
                <w:b/>
                <w:szCs w:val="21"/>
              </w:rPr>
              <w:t>■</w:t>
            </w:r>
            <w:r>
              <w:rPr>
                <w:rFonts w:ascii="宋体" w:hAnsi="宋体"/>
                <w:b/>
                <w:szCs w:val="21"/>
              </w:rPr>
              <w:t>OHSMS</w:t>
            </w:r>
          </w:p>
          <w:p>
            <w:pPr>
              <w:spacing w:line="320" w:lineRule="exact"/>
              <w:jc w:val="lef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320" w:lineRule="exact"/>
              <w:jc w:val="left"/>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320" w:lineRule="exact"/>
              <w:jc w:val="lef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320" w:lineRule="exact"/>
              <w:ind w:firstLine="361" w:firstLineChars="150"/>
              <w:jc w:val="left"/>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20" w:lineRule="exact"/>
              <w:ind w:firstLine="361" w:firstLineChars="150"/>
              <w:jc w:val="left"/>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320" w:lineRule="exact"/>
              <w:ind w:firstLine="361" w:firstLineChars="150"/>
              <w:jc w:val="left"/>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20" w:lineRule="exact"/>
              <w:ind w:firstLine="361" w:firstLineChars="150"/>
              <w:jc w:val="left"/>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320" w:lineRule="exact"/>
              <w:ind w:firstLine="361" w:firstLineChars="150"/>
              <w:jc w:val="left"/>
              <w:rPr>
                <w:rFonts w:ascii="宋体" w:hAnsi="宋体"/>
                <w:b/>
                <w:szCs w:val="21"/>
              </w:rPr>
            </w:pPr>
            <w:r>
              <w:rPr>
                <w:rFonts w:hint="eastAsia" w:ascii="宋体" w:hAnsi="宋体"/>
                <w:b/>
                <w:szCs w:val="21"/>
              </w:rPr>
              <w:t>延期推荐、不推荐或缩小认证范围的说明</w:t>
            </w:r>
            <w:r>
              <w:rPr>
                <w:rFonts w:ascii="宋体" w:hAnsi="宋体"/>
                <w:b/>
                <w:szCs w:val="21"/>
              </w:rPr>
              <w:t>:</w:t>
            </w:r>
          </w:p>
        </w:tc>
      </w:tr>
    </w:tbl>
    <w:p>
      <w:pPr>
        <w:snapToGrid w:val="0"/>
        <w:spacing w:line="320" w:lineRule="exact"/>
        <w:jc w:val="left"/>
        <w:rPr>
          <w:b/>
          <w:sz w:val="21"/>
          <w:szCs w:val="21"/>
        </w:rPr>
      </w:pPr>
    </w:p>
    <w:p>
      <w:pPr>
        <w:tabs>
          <w:tab w:val="left" w:pos="645"/>
        </w:tabs>
        <w:spacing w:afterLines="50" w:line="320" w:lineRule="exact"/>
        <w:jc w:val="left"/>
        <w:rPr>
          <w:b/>
          <w:sz w:val="16"/>
          <w:szCs w:val="16"/>
        </w:rPr>
      </w:pPr>
      <w:r>
        <w:rPr>
          <w:rFonts w:hint="eastAsia"/>
          <w:b/>
          <w:sz w:val="26"/>
          <w:szCs w:val="26"/>
        </w:rPr>
        <w:t>十、不符合项纠正措施要求</w:t>
      </w:r>
    </w:p>
    <w:p>
      <w:pPr>
        <w:spacing w:line="320" w:lineRule="exact"/>
        <w:ind w:left="528" w:leftChars="220"/>
        <w:jc w:val="left"/>
        <w:rPr>
          <w:b/>
          <w:sz w:val="21"/>
        </w:rPr>
      </w:pPr>
      <w:r>
        <w:rPr>
          <w:rFonts w:hint="eastAsia"/>
          <w:b/>
          <w:sz w:val="21"/>
        </w:rPr>
        <w:t>根据相关规定，请组织对一般不符合报告在</w:t>
      </w:r>
      <w:r>
        <w:rPr>
          <w:b/>
          <w:sz w:val="21"/>
          <w:u w:val="single"/>
        </w:rPr>
        <w:t>30</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2"/>
        </w:numPr>
        <w:spacing w:beforeLines="50" w:afterLines="50" w:line="320" w:lineRule="exact"/>
        <w:ind w:left="-122" w:leftChars="-51" w:firstLine="129" w:firstLineChars="46"/>
        <w:jc w:val="left"/>
        <w:rPr>
          <w:rFonts w:hint="eastAsia"/>
          <w:b/>
          <w:sz w:val="21"/>
          <w:szCs w:val="21"/>
        </w:rPr>
      </w:pPr>
      <w:r>
        <w:rPr>
          <w:rFonts w:hint="eastAsia" w:ascii="仿宋" w:hAnsi="仿宋" w:eastAsia="仿宋"/>
          <w:b/>
          <w:kern w:val="24"/>
          <w:sz w:val="28"/>
          <w:szCs w:val="28"/>
        </w:rPr>
        <w:t>任何影响审核方案的重要事项</w:t>
      </w:r>
      <w:r>
        <w:rPr>
          <w:rFonts w:hint="eastAsia"/>
          <w:b/>
          <w:sz w:val="26"/>
          <w:szCs w:val="26"/>
        </w:rPr>
        <w:t>：</w:t>
      </w:r>
      <w:r>
        <w:rPr>
          <w:rFonts w:hint="eastAsia"/>
          <w:b/>
          <w:sz w:val="21"/>
          <w:szCs w:val="21"/>
        </w:rPr>
        <w:t>无</w:t>
      </w:r>
    </w:p>
    <w:p>
      <w:pPr>
        <w:widowControl w:val="0"/>
        <w:numPr>
          <w:numId w:val="0"/>
        </w:numPr>
        <w:spacing w:beforeLines="50" w:afterLines="50" w:line="320" w:lineRule="exact"/>
        <w:jc w:val="left"/>
        <w:rPr>
          <w:rFonts w:hint="eastAsia"/>
          <w:b/>
          <w:sz w:val="21"/>
          <w:szCs w:val="21"/>
        </w:rPr>
      </w:pPr>
    </w:p>
    <w:p>
      <w:pPr>
        <w:widowControl w:val="0"/>
        <w:numPr>
          <w:numId w:val="0"/>
        </w:numPr>
        <w:spacing w:beforeLines="50" w:afterLines="50" w:line="320" w:lineRule="exact"/>
        <w:jc w:val="left"/>
        <w:rPr>
          <w:rFonts w:hint="eastAsia"/>
          <w:b/>
          <w:sz w:val="21"/>
          <w:szCs w:val="21"/>
        </w:rPr>
      </w:pPr>
    </w:p>
    <w:p>
      <w:pPr>
        <w:snapToGrid w:val="0"/>
        <w:spacing w:line="320" w:lineRule="exact"/>
        <w:jc w:val="left"/>
        <w:rPr>
          <w:b/>
          <w:bCs/>
          <w:sz w:val="21"/>
          <w:szCs w:val="28"/>
        </w:rPr>
      </w:pPr>
    </w:p>
    <w:p>
      <w:pPr>
        <w:tabs>
          <w:tab w:val="left" w:pos="645"/>
        </w:tabs>
        <w:spacing w:afterLines="50" w:line="320" w:lineRule="exact"/>
        <w:jc w:val="left"/>
        <w:rPr>
          <w:b/>
          <w:sz w:val="16"/>
          <w:szCs w:val="16"/>
        </w:rPr>
      </w:pPr>
      <w:r>
        <w:rPr>
          <w:rFonts w:ascii="方正仿宋简体" w:eastAsia="方正仿宋简体"/>
          <w:b/>
          <w:szCs w:val="21"/>
        </w:rPr>
        <w:drawing>
          <wp:anchor distT="0" distB="0" distL="114300" distR="114300" simplePos="0" relativeHeight="251669504" behindDoc="0" locked="0" layoutInCell="1" allowOverlap="1">
            <wp:simplePos x="0" y="0"/>
            <wp:positionH relativeFrom="column">
              <wp:posOffset>1707515</wp:posOffset>
            </wp:positionH>
            <wp:positionV relativeFrom="paragraph">
              <wp:posOffset>232410</wp:posOffset>
            </wp:positionV>
            <wp:extent cx="616585" cy="389255"/>
            <wp:effectExtent l="0" t="0" r="12065" b="10795"/>
            <wp:wrapNone/>
            <wp:docPr id="3"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19-04-09 16.49.33"/>
                    <pic:cNvPicPr>
                      <a:picLocks noChangeAspect="1" noChangeArrowheads="1"/>
                    </pic:cNvPicPr>
                  </pic:nvPicPr>
                  <pic:blipFill>
                    <a:blip r:embed="rId6" cstate="print"/>
                    <a:srcRect/>
                    <a:stretch>
                      <a:fillRect/>
                    </a:stretch>
                  </pic:blipFill>
                  <pic:spPr>
                    <a:xfrm>
                      <a:off x="0" y="0"/>
                      <a:ext cx="616585" cy="38925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jc w:val="left"/>
        <w:rPr>
          <w:rFonts w:hint="eastAsia" w:eastAsia="宋体"/>
          <w:b/>
          <w:sz w:val="21"/>
          <w:lang w:eastAsia="zh-CN"/>
        </w:rPr>
      </w:pPr>
      <w:r>
        <w:rPr>
          <w:rFonts w:hint="eastAsia"/>
          <w:b/>
          <w:sz w:val="21"/>
        </w:rPr>
        <w:t>审核组组长（签名）：</w:t>
      </w:r>
    </w:p>
    <w:p>
      <w:pPr>
        <w:snapToGrid w:val="0"/>
        <w:spacing w:beforeLines="50" w:line="320" w:lineRule="exact"/>
        <w:ind w:firstLine="527" w:firstLineChars="250"/>
        <w:jc w:val="left"/>
        <w:rPr>
          <w:rFonts w:hint="eastAsia" w:eastAsia="宋体"/>
          <w:b/>
          <w:sz w:val="21"/>
          <w:lang w:eastAsia="zh-CN"/>
        </w:rPr>
      </w:pPr>
      <w:r>
        <w:rPr>
          <w:rFonts w:hint="eastAsia" w:eastAsia="宋体"/>
          <w:b/>
          <w:sz w:val="21"/>
          <w:szCs w:val="21"/>
          <w:lang w:eastAsia="zh-CN"/>
        </w:rPr>
        <w:drawing>
          <wp:anchor distT="0" distB="0" distL="114300" distR="114300" simplePos="0" relativeHeight="251695104" behindDoc="0" locked="0" layoutInCell="1" allowOverlap="1">
            <wp:simplePos x="0" y="0"/>
            <wp:positionH relativeFrom="column">
              <wp:posOffset>2399665</wp:posOffset>
            </wp:positionH>
            <wp:positionV relativeFrom="paragraph">
              <wp:posOffset>116205</wp:posOffset>
            </wp:positionV>
            <wp:extent cx="683895" cy="601980"/>
            <wp:effectExtent l="0" t="0" r="1905" b="7620"/>
            <wp:wrapNone/>
            <wp:docPr id="6" name="图片 6" descr="770ca3196f6729100a9f8d5a3d25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70ca3196f6729100a9f8d5a3d2513f"/>
                    <pic:cNvPicPr>
                      <a:picLocks noChangeAspect="1"/>
                    </pic:cNvPicPr>
                  </pic:nvPicPr>
                  <pic:blipFill>
                    <a:blip r:embed="rId7"/>
                    <a:stretch>
                      <a:fillRect/>
                    </a:stretch>
                  </pic:blipFill>
                  <pic:spPr>
                    <a:xfrm>
                      <a:off x="0" y="0"/>
                      <a:ext cx="683895" cy="601980"/>
                    </a:xfrm>
                    <a:prstGeom prst="rect">
                      <a:avLst/>
                    </a:prstGeom>
                  </pic:spPr>
                </pic:pic>
              </a:graphicData>
            </a:graphic>
          </wp:anchor>
        </w:drawing>
      </w:r>
      <w:r>
        <w:rPr>
          <w:rFonts w:hint="eastAsia" w:eastAsia="宋体"/>
          <w:b/>
          <w:sz w:val="21"/>
          <w:lang w:eastAsia="zh-CN"/>
        </w:rPr>
        <w:drawing>
          <wp:anchor distT="0" distB="0" distL="114300" distR="114300" simplePos="0" relativeHeight="251665408" behindDoc="0" locked="0" layoutInCell="1" allowOverlap="1">
            <wp:simplePos x="0" y="0"/>
            <wp:positionH relativeFrom="column">
              <wp:posOffset>1442720</wp:posOffset>
            </wp:positionH>
            <wp:positionV relativeFrom="paragraph">
              <wp:posOffset>112395</wp:posOffset>
            </wp:positionV>
            <wp:extent cx="923925" cy="532130"/>
            <wp:effectExtent l="0" t="0" r="9525" b="1270"/>
            <wp:wrapNone/>
            <wp:docPr id="1" name="图片 1" descr="b5dba62d5570f4b19f116cd03f5a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dba62d5570f4b19f116cd03f5a6be"/>
                    <pic:cNvPicPr>
                      <a:picLocks noChangeAspect="1"/>
                    </pic:cNvPicPr>
                  </pic:nvPicPr>
                  <pic:blipFill>
                    <a:blip r:embed="rId8"/>
                    <a:stretch>
                      <a:fillRect/>
                    </a:stretch>
                  </pic:blipFill>
                  <pic:spPr>
                    <a:xfrm>
                      <a:off x="0" y="0"/>
                      <a:ext cx="923925" cy="532130"/>
                    </a:xfrm>
                    <a:prstGeom prst="rect">
                      <a:avLst/>
                    </a:prstGeom>
                  </pic:spPr>
                </pic:pic>
              </a:graphicData>
            </a:graphic>
          </wp:anchor>
        </w:drawing>
      </w:r>
      <w:r>
        <w:rPr>
          <w:rFonts w:hint="eastAsia"/>
          <w:b/>
          <w:sz w:val="21"/>
        </w:rPr>
        <w:t>审核组组员（签名）：</w:t>
      </w:r>
    </w:p>
    <w:p>
      <w:pPr>
        <w:snapToGrid w:val="0"/>
        <w:spacing w:line="320" w:lineRule="exact"/>
        <w:ind w:firstLine="6325" w:firstLineChars="3000"/>
        <w:jc w:val="left"/>
        <w:rPr>
          <w:rFonts w:hint="default" w:eastAsia="宋体"/>
          <w:b/>
          <w:sz w:val="21"/>
          <w:lang w:val="en-US" w:eastAsia="zh-CN"/>
        </w:rPr>
      </w:pPr>
      <w:r>
        <w:rPr>
          <w:rFonts w:hint="eastAsia"/>
          <w:b/>
          <w:sz w:val="21"/>
        </w:rPr>
        <w:t>日期：202</w:t>
      </w:r>
      <w:r>
        <w:rPr>
          <w:rFonts w:hint="eastAsia"/>
          <w:b/>
          <w:sz w:val="21"/>
          <w:lang w:val="en-US" w:eastAsia="zh-CN"/>
        </w:rPr>
        <w:t>1</w:t>
      </w:r>
      <w:r>
        <w:rPr>
          <w:rFonts w:hint="eastAsia"/>
          <w:b/>
          <w:sz w:val="21"/>
        </w:rPr>
        <w:t>.01.</w:t>
      </w:r>
      <w:r>
        <w:rPr>
          <w:rFonts w:hint="eastAsia"/>
          <w:b/>
          <w:sz w:val="21"/>
          <w:lang w:val="en-US" w:eastAsia="zh-CN"/>
        </w:rPr>
        <w:t>07</w:t>
      </w:r>
    </w:p>
    <w:p>
      <w:pPr>
        <w:snapToGrid w:val="0"/>
        <w:spacing w:line="320" w:lineRule="exact"/>
        <w:ind w:firstLine="482" w:firstLineChars="300"/>
        <w:jc w:val="left"/>
        <w:rPr>
          <w:b/>
          <w:sz w:val="16"/>
          <w:szCs w:val="16"/>
        </w:rPr>
      </w:pPr>
    </w:p>
    <w:p>
      <w:pPr>
        <w:tabs>
          <w:tab w:val="left" w:pos="645"/>
        </w:tabs>
        <w:spacing w:afterLines="50" w:line="320" w:lineRule="exact"/>
        <w:jc w:val="left"/>
        <w:rPr>
          <w:b/>
          <w:bCs/>
          <w:sz w:val="16"/>
          <w:szCs w:val="16"/>
        </w:rPr>
      </w:pPr>
      <w:r>
        <w:rPr>
          <w:rFonts w:hint="eastAsia"/>
          <w:b/>
          <w:sz w:val="26"/>
          <w:szCs w:val="26"/>
        </w:rPr>
        <w:t>十三、纠正措施验证及结论</w:t>
      </w:r>
      <w:r>
        <w:rPr>
          <w:rFonts w:hint="eastAsia"/>
          <w:b/>
          <w:bCs/>
          <w:sz w:val="16"/>
          <w:szCs w:val="16"/>
        </w:rPr>
        <w:t>：</w:t>
      </w:r>
    </w:p>
    <w:p>
      <w:pPr>
        <w:spacing w:line="320" w:lineRule="exact"/>
        <w:ind w:firstLine="103" w:firstLineChars="49"/>
        <w:jc w:val="left"/>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0</w:t>
      </w:r>
      <w:r>
        <w:rPr>
          <w:b/>
          <w:sz w:val="21"/>
          <w:szCs w:val="21"/>
        </w:rPr>
        <w:t>)</w:t>
      </w:r>
      <w:r>
        <w:rPr>
          <w:rFonts w:hint="eastAsia"/>
          <w:b/>
          <w:sz w:val="21"/>
          <w:szCs w:val="21"/>
        </w:rPr>
        <w:t>个严重不符合，■验证合格□仍有问题</w:t>
      </w:r>
    </w:p>
    <w:p>
      <w:pPr>
        <w:spacing w:line="320" w:lineRule="exact"/>
        <w:ind w:firstLine="843" w:firstLineChars="400"/>
        <w:jc w:val="left"/>
        <w:rPr>
          <w:b/>
          <w:bCs/>
          <w:sz w:val="21"/>
          <w:szCs w:val="21"/>
        </w:rPr>
      </w:pPr>
      <w:r>
        <w:rPr>
          <w:rFonts w:hint="eastAsia"/>
          <w:b/>
          <w:bCs/>
          <w:sz w:val="21"/>
          <w:szCs w:val="21"/>
        </w:rPr>
        <w:t>审核中发现的□50430 (    )个一般不符合，(    )个严重不符合，□验证合格□仍有问题</w:t>
      </w:r>
    </w:p>
    <w:p>
      <w:pPr>
        <w:spacing w:line="320" w:lineRule="exact"/>
        <w:ind w:firstLine="843" w:firstLineChars="400"/>
        <w:jc w:val="lef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20" w:lineRule="exact"/>
        <w:ind w:firstLine="843" w:firstLineChars="400"/>
        <w:jc w:val="left"/>
        <w:rPr>
          <w:b/>
          <w:sz w:val="21"/>
          <w:szCs w:val="21"/>
        </w:rPr>
      </w:pPr>
      <w:r>
        <w:rPr>
          <w:rFonts w:hint="eastAsia"/>
          <w:b/>
          <w:bCs/>
          <w:sz w:val="21"/>
          <w:szCs w:val="21"/>
        </w:rPr>
        <w:t>审核中发现的</w:t>
      </w:r>
      <w:r>
        <w:rPr>
          <w:rFonts w:hint="eastAsia" w:ascii="宋体" w:hAnsi="宋体"/>
          <w:b/>
          <w:sz w:val="21"/>
          <w:szCs w:val="21"/>
        </w:rPr>
        <w:t>■</w:t>
      </w:r>
      <w:r>
        <w:rPr>
          <w:b/>
          <w:sz w:val="21"/>
          <w:szCs w:val="21"/>
        </w:rPr>
        <w:t xml:space="preserve">OHSMS ( </w:t>
      </w:r>
      <w:r>
        <w:rPr>
          <w:rFonts w:hint="eastAsia"/>
          <w:b/>
          <w:sz w:val="21"/>
          <w:szCs w:val="21"/>
        </w:rPr>
        <w:t>1</w:t>
      </w:r>
      <w:r>
        <w:rPr>
          <w:b/>
          <w:sz w:val="21"/>
          <w:szCs w:val="21"/>
        </w:rPr>
        <w:t>)</w:t>
      </w:r>
      <w:r>
        <w:rPr>
          <w:rFonts w:hint="eastAsia"/>
          <w:b/>
          <w:sz w:val="21"/>
          <w:szCs w:val="21"/>
        </w:rPr>
        <w:t>个一般不符合，</w:t>
      </w:r>
      <w:r>
        <w:rPr>
          <w:b/>
          <w:sz w:val="21"/>
          <w:szCs w:val="21"/>
        </w:rPr>
        <w:t xml:space="preserve">( </w:t>
      </w:r>
      <w:r>
        <w:rPr>
          <w:rFonts w:hint="eastAsia"/>
          <w:b/>
          <w:sz w:val="21"/>
          <w:szCs w:val="21"/>
        </w:rPr>
        <w:t>0</w:t>
      </w:r>
      <w:r>
        <w:rPr>
          <w:b/>
          <w:sz w:val="21"/>
          <w:szCs w:val="21"/>
        </w:rPr>
        <w:t>)</w:t>
      </w:r>
      <w:r>
        <w:rPr>
          <w:rFonts w:hint="eastAsia"/>
          <w:b/>
          <w:sz w:val="21"/>
          <w:szCs w:val="21"/>
        </w:rPr>
        <w:t>个严重不符合，</w:t>
      </w:r>
      <w:r>
        <w:rPr>
          <w:rFonts w:hint="eastAsia" w:ascii="宋体" w:hAnsi="宋体"/>
          <w:b/>
          <w:sz w:val="21"/>
          <w:szCs w:val="21"/>
        </w:rPr>
        <w:t>■</w:t>
      </w:r>
      <w:r>
        <w:rPr>
          <w:rFonts w:hint="eastAsia"/>
          <w:b/>
          <w:sz w:val="21"/>
          <w:szCs w:val="21"/>
        </w:rPr>
        <w:t>验证合格□仍有问题</w:t>
      </w:r>
      <w:r>
        <w:rPr>
          <w:rFonts w:hint="eastAsia"/>
          <w:b/>
          <w:bCs/>
          <w:sz w:val="21"/>
          <w:szCs w:val="21"/>
        </w:rPr>
        <w:t>审</w:t>
      </w:r>
    </w:p>
    <w:p>
      <w:pPr>
        <w:spacing w:beforeLines="50" w:line="320" w:lineRule="exact"/>
        <w:jc w:val="left"/>
        <w:rPr>
          <w:b/>
          <w:sz w:val="21"/>
          <w:szCs w:val="21"/>
          <w:u w:val="single"/>
        </w:rPr>
      </w:pPr>
      <w:r>
        <w:rPr>
          <w:rFonts w:hint="eastAsia"/>
          <w:b/>
          <w:sz w:val="21"/>
          <w:szCs w:val="21"/>
        </w:rPr>
        <w:t>存在问题说明及意见：</w:t>
      </w:r>
    </w:p>
    <w:p>
      <w:pPr>
        <w:spacing w:line="320" w:lineRule="exact"/>
        <w:jc w:val="left"/>
        <w:rPr>
          <w:b/>
          <w:sz w:val="21"/>
          <w:szCs w:val="21"/>
          <w:u w:val="single"/>
        </w:rPr>
      </w:pPr>
    </w:p>
    <w:p>
      <w:pPr>
        <w:spacing w:beforeLines="50" w:line="320" w:lineRule="exact"/>
        <w:ind w:firstLine="632" w:firstLineChars="300"/>
        <w:jc w:val="left"/>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line="320" w:lineRule="exact"/>
        <w:ind w:firstLine="655" w:firstLineChars="343"/>
        <w:jc w:val="left"/>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line="320" w:lineRule="exact"/>
        <w:ind w:firstLine="826" w:firstLineChars="343"/>
        <w:jc w:val="left"/>
        <w:rPr>
          <w:rFonts w:hint="eastAsia" w:eastAsia="宋体"/>
          <w:b/>
          <w:sz w:val="21"/>
          <w:szCs w:val="21"/>
          <w:lang w:eastAsia="zh-CN"/>
        </w:rPr>
      </w:pPr>
      <w:r>
        <w:rPr>
          <w:rFonts w:ascii="方正仿宋简体" w:eastAsia="方正仿宋简体"/>
          <w:b/>
          <w:szCs w:val="21"/>
        </w:rPr>
        <w:drawing>
          <wp:anchor distT="0" distB="0" distL="114300" distR="114300" simplePos="0" relativeHeight="251694080" behindDoc="0" locked="0" layoutInCell="1" allowOverlap="1">
            <wp:simplePos x="0" y="0"/>
            <wp:positionH relativeFrom="column">
              <wp:posOffset>1212215</wp:posOffset>
            </wp:positionH>
            <wp:positionV relativeFrom="paragraph">
              <wp:posOffset>37465</wp:posOffset>
            </wp:positionV>
            <wp:extent cx="616585" cy="389255"/>
            <wp:effectExtent l="0" t="0" r="12065" b="10795"/>
            <wp:wrapNone/>
            <wp:docPr id="4" name="图片 4"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19-04-09 16.49.33"/>
                    <pic:cNvPicPr>
                      <a:picLocks noChangeAspect="1" noChangeArrowheads="1"/>
                    </pic:cNvPicPr>
                  </pic:nvPicPr>
                  <pic:blipFill>
                    <a:blip r:embed="rId6" cstate="print"/>
                    <a:srcRect/>
                    <a:stretch>
                      <a:fillRect/>
                    </a:stretch>
                  </pic:blipFill>
                  <pic:spPr>
                    <a:xfrm>
                      <a:off x="0" y="0"/>
                      <a:ext cx="616585" cy="389255"/>
                    </a:xfrm>
                    <a:prstGeom prst="rect">
                      <a:avLst/>
                    </a:prstGeom>
                    <a:noFill/>
                    <a:ln w="9525">
                      <a:noFill/>
                      <a:miter lim="800000"/>
                      <a:headEnd/>
                      <a:tailEnd/>
                    </a:ln>
                  </pic:spPr>
                </pic:pic>
              </a:graphicData>
            </a:graphic>
          </wp:anchor>
        </w:drawing>
      </w:r>
      <w:r>
        <w:rPr>
          <w:rFonts w:hint="eastAsia"/>
          <w:b/>
          <w:sz w:val="21"/>
          <w:szCs w:val="21"/>
        </w:rPr>
        <w:t>组长签字：</w:t>
      </w:r>
    </w:p>
    <w:p>
      <w:pPr>
        <w:tabs>
          <w:tab w:val="left" w:pos="6880"/>
          <w:tab w:val="left" w:pos="7740"/>
          <w:tab w:val="left" w:pos="8385"/>
        </w:tabs>
        <w:snapToGrid w:val="0"/>
        <w:spacing w:beforeLines="50" w:line="320" w:lineRule="exact"/>
        <w:ind w:firstLine="723" w:firstLineChars="343"/>
        <w:jc w:val="left"/>
        <w:rPr>
          <w:b/>
          <w:sz w:val="21"/>
          <w:szCs w:val="21"/>
        </w:rPr>
      </w:pPr>
    </w:p>
    <w:p>
      <w:pPr>
        <w:spacing w:line="320" w:lineRule="exact"/>
        <w:ind w:left="783" w:hanging="783" w:hangingChars="300"/>
        <w:jc w:val="left"/>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line="320" w:lineRule="exact"/>
        <w:jc w:val="left"/>
        <w:rPr>
          <w:b/>
          <w:sz w:val="21"/>
          <w:u w:val="single"/>
        </w:rPr>
      </w:pPr>
    </w:p>
    <w:p>
      <w:pPr>
        <w:spacing w:line="320" w:lineRule="exact"/>
        <w:jc w:val="left"/>
        <w:rPr>
          <w:b/>
          <w:sz w:val="26"/>
          <w:szCs w:val="26"/>
        </w:rPr>
      </w:pPr>
      <w:r>
        <w:rPr>
          <w:rFonts w:hint="eastAsia"/>
          <w:b/>
          <w:sz w:val="26"/>
          <w:szCs w:val="26"/>
        </w:rPr>
        <w:t>十五、认证评定与批准</w:t>
      </w:r>
    </w:p>
    <w:p>
      <w:pPr>
        <w:numPr>
          <w:ilvl w:val="0"/>
          <w:numId w:val="3"/>
        </w:numPr>
        <w:spacing w:line="320" w:lineRule="exact"/>
        <w:jc w:val="left"/>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20" w:lineRule="exact"/>
        <w:ind w:left="600"/>
        <w:jc w:val="left"/>
        <w:rPr>
          <w:b/>
          <w:szCs w:val="24"/>
        </w:rPr>
      </w:pPr>
      <w:r>
        <w:rPr>
          <w:rFonts w:hint="eastAsia"/>
          <w:b/>
          <w:szCs w:val="24"/>
        </w:rPr>
        <w:t>认证评定负责人：日期：      年    月     日</w:t>
      </w:r>
    </w:p>
    <w:p>
      <w:pPr>
        <w:numPr>
          <w:ilvl w:val="0"/>
          <w:numId w:val="3"/>
        </w:numPr>
        <w:spacing w:line="320" w:lineRule="exact"/>
        <w:jc w:val="left"/>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20" w:lineRule="exact"/>
        <w:ind w:left="600"/>
        <w:jc w:val="left"/>
        <w:rPr>
          <w:b/>
          <w:szCs w:val="24"/>
        </w:rPr>
      </w:pPr>
      <w:r>
        <w:rPr>
          <w:rFonts w:hint="eastAsia"/>
          <w:b/>
          <w:szCs w:val="24"/>
        </w:rPr>
        <w:t>批准人（总经理）：日期：     年    月     日</w:t>
      </w:r>
    </w:p>
    <w:p>
      <w:pPr>
        <w:snapToGrid w:val="0"/>
        <w:spacing w:beforeLines="50" w:afterLines="50" w:line="320" w:lineRule="exact"/>
        <w:jc w:val="left"/>
        <w:rPr>
          <w:b/>
          <w:sz w:val="26"/>
          <w:szCs w:val="26"/>
        </w:rPr>
      </w:pPr>
      <w:r>
        <w:rPr>
          <w:rFonts w:hint="eastAsia"/>
          <w:b/>
          <w:sz w:val="26"/>
          <w:szCs w:val="26"/>
        </w:rPr>
        <w:t>十六、审核报告的发放范围：</w:t>
      </w:r>
    </w:p>
    <w:p>
      <w:pPr>
        <w:snapToGrid w:val="0"/>
        <w:spacing w:line="320" w:lineRule="exact"/>
        <w:ind w:firstLine="316" w:firstLineChars="150"/>
        <w:jc w:val="left"/>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jc w:val="left"/>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20" w:lineRule="exact"/>
        <w:jc w:val="lef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jc w:val="lef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jc w:val="lef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jc w:val="left"/>
        <w:rPr>
          <w:b/>
          <w:bCs/>
          <w:sz w:val="16"/>
          <w:szCs w:val="16"/>
        </w:rPr>
      </w:pPr>
      <w:r>
        <w:rPr>
          <w:b/>
          <w:bCs/>
          <w:sz w:val="21"/>
          <w:szCs w:val="28"/>
        </w:rPr>
        <w:t>3.</w:t>
      </w:r>
      <w:r>
        <w:rPr>
          <w:rFonts w:hint="eastAsia" w:ascii="宋体" w:hAnsi="宋体"/>
          <w:b/>
          <w:bCs/>
          <w:sz w:val="21"/>
          <w:szCs w:val="28"/>
        </w:rPr>
        <w:t>其他</w:t>
      </w:r>
    </w:p>
    <w:p>
      <w:pPr>
        <w:spacing w:beforeLines="50" w:afterLines="50" w:line="320" w:lineRule="exact"/>
        <w:jc w:val="left"/>
        <w:rPr>
          <w:rFonts w:ascii="宋体"/>
          <w:b/>
          <w:sz w:val="26"/>
          <w:szCs w:val="26"/>
        </w:rPr>
      </w:pPr>
      <w:r>
        <w:rPr>
          <w:rFonts w:hint="eastAsia" w:ascii="宋体" w:hAnsi="宋体"/>
          <w:b/>
          <w:sz w:val="26"/>
          <w:szCs w:val="26"/>
        </w:rPr>
        <w:t>十八、填表说明：</w:t>
      </w:r>
    </w:p>
    <w:p>
      <w:pPr>
        <w:spacing w:line="320" w:lineRule="exact"/>
        <w:ind w:left="316" w:hanging="316" w:hangingChars="150"/>
        <w:jc w:val="left"/>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jc w:val="left"/>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jc w:val="left"/>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tabs>
          <w:tab w:val="left" w:pos="5730"/>
        </w:tabs>
        <w:spacing w:line="320" w:lineRule="exact"/>
        <w:ind w:left="316" w:hanging="316" w:hangingChars="150"/>
        <w:jc w:val="left"/>
        <w:rPr>
          <w:rFonts w:hint="eastAsia"/>
          <w:b/>
          <w:sz w:val="21"/>
        </w:rPr>
      </w:pPr>
      <w:r>
        <w:rPr>
          <w:b/>
          <w:sz w:val="21"/>
        </w:rPr>
        <w:t xml:space="preserve">4. </w:t>
      </w:r>
      <w:r>
        <w:rPr>
          <w:rFonts w:hint="eastAsia"/>
          <w:b/>
          <w:sz w:val="21"/>
        </w:rPr>
        <w:t>公正性声明和审核报告签字处需本人亲笔签名。</w:t>
      </w:r>
    </w:p>
    <w:p>
      <w:pPr>
        <w:tabs>
          <w:tab w:val="left" w:pos="5730"/>
        </w:tabs>
        <w:spacing w:line="320" w:lineRule="exact"/>
        <w:ind w:left="316" w:hanging="316" w:hangingChars="150"/>
        <w:jc w:val="left"/>
        <w:rPr>
          <w:rFonts w:hint="eastAsia"/>
          <w:b/>
          <w:sz w:val="21"/>
        </w:rPr>
      </w:pPr>
    </w:p>
    <w:p>
      <w:pPr>
        <w:tabs>
          <w:tab w:val="left" w:pos="5730"/>
        </w:tabs>
        <w:spacing w:line="320" w:lineRule="exact"/>
        <w:ind w:left="316" w:hanging="316" w:hangingChars="150"/>
        <w:jc w:val="left"/>
        <w:rPr>
          <w:rFonts w:hint="eastAsia"/>
          <w:b/>
          <w:sz w:val="21"/>
        </w:rPr>
      </w:pPr>
      <w:bookmarkStart w:id="23" w:name="_GoBack"/>
      <w:bookmarkEnd w:id="23"/>
    </w:p>
    <w:p>
      <w:pPr>
        <w:snapToGrid w:val="0"/>
        <w:spacing w:line="320" w:lineRule="exact"/>
        <w:jc w:val="left"/>
        <w:rPr>
          <w:b/>
          <w:sz w:val="30"/>
          <w:szCs w:val="30"/>
        </w:rPr>
      </w:pPr>
    </w:p>
    <w:p>
      <w:pPr>
        <w:snapToGrid w:val="0"/>
        <w:spacing w:line="320" w:lineRule="exact"/>
        <w:jc w:val="left"/>
        <w:rPr>
          <w:rFonts w:ascii="方正仿宋简体" w:eastAsia="方正仿宋简体"/>
          <w:b/>
          <w:sz w:val="30"/>
          <w:szCs w:val="30"/>
        </w:rPr>
      </w:pPr>
      <w:r>
        <w:rPr>
          <w:rFonts w:hint="eastAsia" w:ascii="方正仿宋简体" w:eastAsia="方正仿宋简体"/>
          <w:b/>
          <w:sz w:val="30"/>
          <w:szCs w:val="30"/>
        </w:rPr>
        <w:t>十九、审核基于对可获得信息的抽样过程的免责声明：</w:t>
      </w:r>
    </w:p>
    <w:p>
      <w:pPr>
        <w:snapToGrid w:val="0"/>
        <w:spacing w:line="320" w:lineRule="exact"/>
        <w:ind w:firstLine="354" w:firstLineChars="147"/>
        <w:jc w:val="left"/>
        <w:rPr>
          <w:rFonts w:ascii="方正仿宋简体" w:eastAsia="方正仿宋简体"/>
          <w:b/>
        </w:rPr>
      </w:pPr>
    </w:p>
    <w:p>
      <w:pPr>
        <w:snapToGrid w:val="0"/>
        <w:spacing w:line="320" w:lineRule="exact"/>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FCFCE"/>
    <w:multiLevelType w:val="singleLevel"/>
    <w:tmpl w:val="846FCFCE"/>
    <w:lvl w:ilvl="0" w:tentative="0">
      <w:start w:val="1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2B324E"/>
    <w:rsid w:val="0DE33087"/>
    <w:rsid w:val="177E6603"/>
    <w:rsid w:val="3B085A7C"/>
    <w:rsid w:val="3D867FCD"/>
    <w:rsid w:val="49A329CC"/>
    <w:rsid w:val="518A0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25</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李凤仪</cp:lastModifiedBy>
  <cp:lastPrinted>2019-04-18T08:15:00Z</cp:lastPrinted>
  <dcterms:modified xsi:type="dcterms:W3CDTF">2021-01-06T06:56:00Z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