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路特斯科技（天津）有限公司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路特斯科技（天津）有限公司</w:t>
            </w:r>
            <w:bookmarkEnd w:id="4"/>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20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天津市武清区京滨工业园古达路60号</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301700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天津市武清区源和道16号</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301700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杨涛</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022-59678004</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hint="eastAsia" w:ascii="宋体" w:hAnsi="宋体" w:eastAsia="宋体"/>
                <w:b/>
                <w:color w:val="000000" w:themeColor="text1"/>
                <w:sz w:val="20"/>
                <w:szCs w:val="20"/>
                <w:lang w:val="en-US" w:eastAsia="zh-CN"/>
              </w:rPr>
            </w:pPr>
            <w:bookmarkStart w:id="12" w:name="联系人传真"/>
            <w:bookmarkEnd w:id="12"/>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王菁</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张立兰</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Q：加湿器、仪器仪表（控制器、变频器、触摸屏、触摸屏自主终端、压差传感器、温湿度传感器、尘埃粒子计数器）、空调设备及配件、配电开关自动控制设备的销售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E：加湿器、仪器仪表（控制器、变频器、触摸屏、触摸屏自主终端、压差传感器、温湿度传感器、尘埃粒子计数器）、空调设备及配件、配电开关自动控制设备的销售所涉及场所的相关环境管理活动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O：加湿器、仪器仪表（控制器、变频器、触摸屏、触摸屏自主终端、压差传感器、温湿度传感器、尘埃粒子计数器）、空调设备及配件、配电开关自动控制设备的销售所涉及场所的相关职业健康安全管理活动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2020-03-15 10:04:23</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eastAsia="zh-CN"/>
              </w:rPr>
              <w:t>无</w:t>
            </w:r>
          </w:p>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管理层</w:t>
            </w:r>
          </w:p>
        </w:tc>
        <w:tc>
          <w:tcPr>
            <w:tcW w:w="6804" w:type="dxa"/>
          </w:tcPr>
          <w:p>
            <w:pPr>
              <w:jc w:val="left"/>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cs="Times New Roman"/>
                <w:b w:val="0"/>
                <w:bCs/>
                <w:sz w:val="21"/>
                <w:szCs w:val="21"/>
                <w:lang w:eastAsia="zh-CN"/>
              </w:rPr>
              <w:t>；</w:t>
            </w:r>
            <w:r>
              <w:rPr>
                <w:rFonts w:hint="eastAsia"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销售部</w:t>
            </w:r>
          </w:p>
        </w:tc>
        <w:tc>
          <w:tcPr>
            <w:tcW w:w="6804" w:type="dxa"/>
          </w:tcPr>
          <w:p>
            <w:pPr>
              <w:jc w:val="left"/>
              <w:rPr>
                <w:rFonts w:hint="eastAsia"/>
                <w:lang w:val="en-US" w:eastAsia="zh-CN"/>
              </w:rPr>
            </w:pPr>
            <w:r>
              <w:rPr>
                <w:rFonts w:hint="eastAsia"/>
                <w:lang w:val="en-US" w:eastAsia="zh-CN"/>
              </w:rPr>
              <w:t>Q5.3/6.2/7.1.5/8.1/8.2/8.3/8.5.1/8.5.3/8.5.5/8.5.6/8.6/8.7/9.1.2</w:t>
            </w:r>
          </w:p>
          <w:p>
            <w:pPr>
              <w:keepNext w:val="0"/>
              <w:keepLines w:val="0"/>
              <w:pageBreakBefore w:val="0"/>
              <w:widowControl w:val="0"/>
              <w:kinsoku/>
              <w:wordWrap/>
              <w:overflowPunct/>
              <w:topLinePunct w:val="0"/>
              <w:autoSpaceDE/>
              <w:autoSpaceDN/>
              <w:bidi w:val="0"/>
              <w:spacing w:line="300" w:lineRule="exact"/>
              <w:jc w:val="left"/>
              <w:textAlignment w:val="auto"/>
              <w:rPr>
                <w:rFonts w:hint="default" w:eastAsia="宋体"/>
                <w:lang w:val="en-US" w:eastAsia="zh-CN"/>
              </w:rPr>
            </w:pPr>
            <w:r>
              <w:rPr>
                <w:rFonts w:hint="eastAsia"/>
                <w:lang w:val="en-US" w:eastAsia="zh-CN"/>
              </w:rPr>
              <w:t>EO</w:t>
            </w:r>
            <w:r>
              <w:rPr>
                <w:rFonts w:hint="eastAsia" w:ascii="Times New Roman" w:hAnsi="Times New Roman" w:eastAsia="宋体" w:cs="Times New Roman"/>
                <w:b w:val="0"/>
                <w:bCs w:val="0"/>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采购部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7.1.3/</w:t>
            </w:r>
            <w:r>
              <w:rPr>
                <w:rFonts w:hint="default" w:ascii="Times New Roman" w:hAnsi="Times New Roman" w:eastAsia="宋体" w:cs="Times New Roman"/>
                <w:sz w:val="21"/>
                <w:szCs w:val="21"/>
              </w:rPr>
              <w:t>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7.2/7.3/7.4/7.5</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rPr>
              <w:t>9.</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9.1.1/</w:t>
            </w:r>
            <w:r>
              <w:rPr>
                <w:rFonts w:hint="eastAsia" w:cs="Times New Roman"/>
                <w:sz w:val="21"/>
                <w:szCs w:val="21"/>
                <w:lang w:val="en-US" w:eastAsia="zh-CN"/>
              </w:rPr>
              <w:t>10.2</w:t>
            </w:r>
            <w:r>
              <w:rPr>
                <w:rFonts w:hint="eastAsia" w:ascii="Times New Roman" w:hAnsi="Times New Roman" w:cs="Times New Roman"/>
                <w:sz w:val="21"/>
                <w:szCs w:val="21"/>
                <w:lang w:eastAsia="zh-CN"/>
              </w:rPr>
              <w:t>；</w:t>
            </w:r>
          </w:p>
          <w:p>
            <w:pPr>
              <w:jc w:val="left"/>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9.1.2/</w:t>
            </w:r>
            <w:r>
              <w:rPr>
                <w:rFonts w:hint="default" w:ascii="Times New Roman" w:hAnsi="Times New Roman" w:eastAsia="宋体" w:cs="Times New Roman"/>
                <w:sz w:val="21"/>
                <w:szCs w:val="21"/>
              </w:rPr>
              <w:t>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仓储物流部</w:t>
            </w:r>
          </w:p>
        </w:tc>
        <w:tc>
          <w:tcPr>
            <w:tcW w:w="6804" w:type="dxa"/>
          </w:tcPr>
          <w:p>
            <w:pPr>
              <w:jc w:val="left"/>
              <w:rPr>
                <w:rFonts w:hint="eastAsia"/>
                <w:lang w:val="en-US" w:eastAsia="zh-CN"/>
              </w:rPr>
            </w:pPr>
            <w:r>
              <w:rPr>
                <w:rFonts w:hint="eastAsia"/>
                <w:lang w:val="en-US" w:eastAsia="zh-CN"/>
              </w:rPr>
              <w:t>Q5.3/6.2/8.5.2/8.5.4；</w:t>
            </w:r>
          </w:p>
          <w:p>
            <w:pPr>
              <w:keepNext w:val="0"/>
              <w:keepLines w:val="0"/>
              <w:pageBreakBefore w:val="0"/>
              <w:widowControl w:val="0"/>
              <w:kinsoku/>
              <w:wordWrap/>
              <w:overflowPunct/>
              <w:topLinePunct w:val="0"/>
              <w:autoSpaceDE/>
              <w:autoSpaceDN/>
              <w:bidi w:val="0"/>
              <w:spacing w:line="300" w:lineRule="exact"/>
              <w:jc w:val="left"/>
              <w:textAlignment w:val="auto"/>
            </w:pPr>
            <w:r>
              <w:rPr>
                <w:rFonts w:hint="eastAsia" w:ascii="Times New Roman" w:hAnsi="Times New Roman" w:eastAsia="宋体" w:cs="Times New Roman"/>
                <w:b w:val="0"/>
                <w:bCs w:val="0"/>
                <w:sz w:val="21"/>
                <w:szCs w:val="21"/>
                <w:lang w:val="en-US" w:eastAsia="zh-CN"/>
              </w:rPr>
              <w:t>E</w:t>
            </w:r>
            <w:r>
              <w:rPr>
                <w:rFonts w:hint="eastAsia" w:ascii="Times New Roman" w:hAnsi="Times New Roman" w:cs="Times New Roman"/>
                <w:b w:val="0"/>
                <w:bCs w:val="0"/>
                <w:sz w:val="21"/>
                <w:szCs w:val="21"/>
                <w:lang w:val="en-US" w:eastAsia="zh-CN"/>
              </w:rPr>
              <w:t>O</w:t>
            </w:r>
            <w:r>
              <w:rPr>
                <w:rFonts w:hint="eastAsia" w:ascii="Times New Roman" w:hAnsi="Times New Roman" w:eastAsia="宋体" w:cs="Times New Roman"/>
                <w:b w:val="0"/>
                <w:bCs w:val="0"/>
                <w:sz w:val="21"/>
                <w:szCs w:val="21"/>
                <w:lang w:val="en-US" w:eastAsia="zh-CN"/>
              </w:rPr>
              <w:t>5.3/6.1.2/6.2/8.1/8.2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1815"/>
        <w:gridCol w:w="145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815"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451"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6" w:type="dxa"/>
          </w:tcPr>
          <w:p>
            <w:pPr>
              <w:rPr>
                <w:b/>
                <w:color w:val="000000" w:themeColor="text1"/>
                <w:sz w:val="20"/>
                <w:szCs w:val="20"/>
              </w:rPr>
            </w:pPr>
            <w:r>
              <w:rPr>
                <w:rFonts w:ascii="宋体" w:hAnsi="宋体"/>
                <w:b/>
                <w:color w:val="000000" w:themeColor="text1"/>
                <w:sz w:val="20"/>
                <w:szCs w:val="20"/>
              </w:rPr>
              <w:t>加湿器、仪器仪表（控制器、变频器、触摸屏、触摸屏自主终端、压差传感器、温湿度传感器、尘埃粒子计数器）、空调设备及配件、配电开关自动控制设备的销售</w:t>
            </w:r>
          </w:p>
        </w:tc>
        <w:tc>
          <w:tcPr>
            <w:tcW w:w="1815" w:type="dxa"/>
          </w:tcPr>
          <w:p>
            <w:pPr>
              <w:rPr>
                <w:rFonts w:hint="eastAsia" w:eastAsia="宋体"/>
                <w:b/>
                <w:color w:val="000000" w:themeColor="text1"/>
                <w:sz w:val="20"/>
                <w:szCs w:val="20"/>
                <w:lang w:eastAsia="zh-CN"/>
              </w:rPr>
            </w:pPr>
            <w:r>
              <w:rPr>
                <w:rFonts w:hint="eastAsia"/>
                <w:b/>
                <w:color w:val="000000" w:themeColor="text1"/>
                <w:sz w:val="20"/>
                <w:szCs w:val="20"/>
                <w:lang w:eastAsia="zh-CN"/>
              </w:rPr>
              <w:t>销售</w:t>
            </w:r>
          </w:p>
        </w:tc>
        <w:tc>
          <w:tcPr>
            <w:tcW w:w="1451"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15</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相关方需求和期望识别情况</w:t>
            </w:r>
          </w:p>
          <w:p>
            <w:pPr>
              <w:numPr>
                <w:ilvl w:val="0"/>
                <w:numId w:val="0"/>
              </w:numPr>
              <w:spacing w:line="240" w:lineRule="exact"/>
              <w:rPr>
                <w:b/>
                <w:color w:val="000000" w:themeColor="text1"/>
                <w:sz w:val="20"/>
                <w:szCs w:val="20"/>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lang w:val="en-US" w:eastAsia="zh-CN"/>
              </w:rPr>
              <w:t>环境安全</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rPr>
            </w:pPr>
            <w:r>
              <w:rPr>
                <w:rFonts w:hint="eastAsia"/>
                <w:lang w:val="en-US" w:eastAsia="zh-CN"/>
              </w:rPr>
              <w:t>质量方针：质量向上</w:t>
            </w:r>
            <w:r>
              <w:rPr>
                <w:rFonts w:hint="eastAsia"/>
              </w:rPr>
              <w:t xml:space="preserve">   顾客满意    </w:t>
            </w:r>
            <w:r>
              <w:rPr>
                <w:rFonts w:hint="eastAsia"/>
                <w:lang w:val="en-US" w:eastAsia="zh-CN"/>
              </w:rPr>
              <w:t>科技创新</w:t>
            </w:r>
            <w:r>
              <w:rPr>
                <w:rFonts w:hint="eastAsia"/>
              </w:rPr>
              <w:t xml:space="preserve">   持续改进</w:t>
            </w:r>
          </w:p>
          <w:p>
            <w:pPr>
              <w:spacing w:line="240" w:lineRule="exact"/>
              <w:rPr>
                <w:rFonts w:hint="eastAsia"/>
              </w:rPr>
            </w:pPr>
            <w:r>
              <w:rPr>
                <w:rFonts w:hint="eastAsia"/>
              </w:rPr>
              <w:t xml:space="preserve">环境方针：防污节能   遵规守法   绿色环保   持续改进   </w:t>
            </w:r>
          </w:p>
          <w:p>
            <w:pPr>
              <w:spacing w:line="240" w:lineRule="exact"/>
              <w:rPr>
                <w:rFonts w:hint="eastAsia"/>
              </w:rPr>
            </w:pPr>
            <w:r>
              <w:rPr>
                <w:rFonts w:hint="eastAsia"/>
              </w:rPr>
              <w:t>职业健康安全方针：消除隐患   保障健康   遵规守法   持续改进</w:t>
            </w:r>
          </w:p>
          <w:p>
            <w:pPr>
              <w:keepNext w:val="0"/>
              <w:keepLines w:val="0"/>
              <w:pageBreakBefore w:val="0"/>
              <w:kinsoku/>
              <w:wordWrap/>
              <w:overflowPunct/>
              <w:topLinePunct w:val="0"/>
              <w:bidi w:val="0"/>
              <w:snapToGrid/>
              <w:spacing w:line="360" w:lineRule="exact"/>
              <w:textAlignment w:val="auto"/>
            </w:pPr>
            <w:r>
              <w:rPr>
                <w:rFonts w:hint="eastAsia" w:cs="宋体"/>
              </w:rPr>
              <w:t>管理方针与企业的经营宗旨相适应，协调；</w:t>
            </w:r>
          </w:p>
          <w:p>
            <w:pPr>
              <w:rPr>
                <w:b/>
                <w:color w:val="000000" w:themeColor="text1"/>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ind w:leftChars="0"/>
              <w:rPr>
                <w:b/>
                <w:color w:val="000000" w:themeColor="text1"/>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w:t>
            </w:r>
            <w:r>
              <w:rPr>
                <w:rFonts w:hint="eastAsia"/>
                <w:lang w:eastAsia="zh-CN"/>
              </w:rPr>
              <w:t>针对顾客需求的变更</w:t>
            </w:r>
            <w:r>
              <w:rPr>
                <w:rFonts w:hint="eastAsia"/>
              </w:rPr>
              <w:t>，由</w:t>
            </w:r>
            <w:r>
              <w:rPr>
                <w:rFonts w:hint="eastAsia"/>
                <w:lang w:eastAsia="zh-CN"/>
              </w:rPr>
              <w:t>销售部紧密与客户沟通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销售服务，</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销售服务，</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采购部组织全体部门对所涉及的环境因素进行识别，并评价出重要环境因素，提供环境因素评价记录，目前环境因素识别基本完整，评价的重要环境因素有</w:t>
            </w:r>
            <w:r>
              <w:rPr>
                <w:rFonts w:hint="default" w:ascii="Times New Roman" w:hAnsi="Times New Roman" w:cs="Times New Roman"/>
                <w:sz w:val="21"/>
                <w:szCs w:val="21"/>
                <w:highlight w:val="none"/>
              </w:rPr>
              <w:t>办公与库房管理过程潜在火灾</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废旧墨盒的排放</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车辆油品泄漏</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ascii="宋体" w:hAnsi="宋体"/>
                <w:sz w:val="21"/>
                <w:szCs w:val="21"/>
                <w:lang w:val="en-US" w:eastAsia="zh-CN"/>
              </w:rPr>
              <w:t>采购部组织</w:t>
            </w:r>
            <w:r>
              <w:rPr>
                <w:rFonts w:hint="eastAsia" w:ascii="宋体" w:hAnsi="宋体"/>
                <w:color w:val="auto"/>
                <w:sz w:val="21"/>
                <w:szCs w:val="21"/>
                <w:lang w:val="en-US" w:eastAsia="zh-CN"/>
              </w:rPr>
              <w:t>全体部门所涉及的危险源进行识别，并评价出重大危险源，提供重大危险源评价记录，目前危险源识别基本完整，评价的</w:t>
            </w:r>
            <w:r>
              <w:rPr>
                <w:rFonts w:hint="eastAsia"/>
                <w:color w:val="auto"/>
              </w:rPr>
              <w:t>不可接受风险</w:t>
            </w:r>
            <w:r>
              <w:rPr>
                <w:rFonts w:hint="eastAsia"/>
                <w:color w:val="auto"/>
                <w:lang w:eastAsia="zh-CN"/>
              </w:rPr>
              <w:t>为</w:t>
            </w:r>
            <w:r>
              <w:rPr>
                <w:rFonts w:hint="eastAsia"/>
                <w:color w:val="auto"/>
                <w:sz w:val="21"/>
                <w:szCs w:val="21"/>
              </w:rPr>
              <w:t>火灾、触电、</w:t>
            </w:r>
            <w:r>
              <w:rPr>
                <w:rFonts w:hint="eastAsia"/>
                <w:color w:val="auto"/>
                <w:sz w:val="21"/>
                <w:szCs w:val="21"/>
                <w:lang w:val="en-US" w:eastAsia="zh-CN"/>
              </w:rPr>
              <w:t>人身</w:t>
            </w:r>
            <w:r>
              <w:rPr>
                <w:rFonts w:hint="eastAsia"/>
                <w:color w:val="auto"/>
                <w:sz w:val="21"/>
                <w:szCs w:val="21"/>
              </w:rPr>
              <w:t>伤害</w:t>
            </w:r>
            <w:r>
              <w:rPr>
                <w:rFonts w:hint="eastAsia"/>
                <w:color w:val="auto"/>
                <w:sz w:val="21"/>
                <w:szCs w:val="21"/>
                <w:lang w:eastAsia="zh-CN"/>
              </w:rPr>
              <w:t>、</w:t>
            </w:r>
            <w:r>
              <w:rPr>
                <w:rFonts w:hint="eastAsia"/>
                <w:color w:val="auto"/>
                <w:sz w:val="21"/>
                <w:szCs w:val="21"/>
                <w:lang w:val="en-US" w:eastAsia="zh-CN"/>
              </w:rPr>
              <w:t>病毒感染与传播</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eastAsia="zh-CN"/>
              </w:rPr>
              <w:t>培训</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ascii="Times New Roman" w:hAnsi="Times New Roman" w:cs="Times New Roman"/>
                <w:b/>
                <w:color w:val="000000" w:themeColor="text1"/>
                <w:szCs w:val="21"/>
                <w:lang w:val="en-US" w:eastAsia="zh-CN"/>
              </w:rPr>
            </w:pPr>
            <w:r>
              <w:rPr>
                <w:rFonts w:hint="eastAsia" w:ascii="Times New Roman" w:hAnsi="Times New Roman" w:cs="Times New Roman"/>
                <w:b/>
                <w:color w:val="000000" w:themeColor="text1"/>
                <w:szCs w:val="21"/>
                <w:lang w:val="en-US" w:eastAsia="zh-CN"/>
              </w:rPr>
              <w:t>9、 目标、方案（在相关层次上建立可测量的目标，目标、方案的有效性，对质量目标的实现情况进行评价并叙述测量方法）</w:t>
            </w:r>
          </w:p>
          <w:p>
            <w:pPr>
              <w:tabs>
                <w:tab w:val="left" w:pos="540"/>
              </w:tabs>
              <w:spacing w:line="240" w:lineRule="exact"/>
              <w:rPr>
                <w:rFonts w:hint="eastAsia" w:ascii="Times New Roman" w:hAnsi="Times New Roman" w:cs="宋体"/>
                <w:lang w:val="en-US" w:eastAsia="zh-CN"/>
              </w:rPr>
            </w:pPr>
            <w:r>
              <w:rPr>
                <w:rFonts w:hint="eastAsia" w:ascii="Times New Roman" w:hAnsi="Times New Roman" w:cs="宋体"/>
                <w:lang w:val="en-US" w:eastAsia="zh-CN"/>
              </w:rPr>
              <w:t>公司质量目标：1）产品一次交验合格率≧95%；2）顾客满意率95%以上；</w:t>
            </w:r>
          </w:p>
          <w:p>
            <w:pPr>
              <w:tabs>
                <w:tab w:val="left" w:pos="540"/>
              </w:tabs>
              <w:spacing w:line="240" w:lineRule="exact"/>
              <w:rPr>
                <w:rFonts w:hint="eastAsia" w:ascii="Times New Roman" w:hAnsi="Times New Roman" w:cs="宋体"/>
                <w:lang w:val="en-US" w:eastAsia="zh-CN"/>
              </w:rPr>
            </w:pPr>
            <w:r>
              <w:rPr>
                <w:rFonts w:hint="eastAsia" w:ascii="Times New Roman" w:hAnsi="Times New Roman" w:cs="宋体"/>
                <w:lang w:val="en-US" w:eastAsia="zh-CN"/>
              </w:rPr>
              <w:t>环境与职业健康安全目标：1）固废废弃物分类处置率100%；2）火灾爆炸事故0发生；3）无相关方环保投诉事件发生；4）触电事故0发生；5）重大责任交通事故为零；</w:t>
            </w:r>
          </w:p>
          <w:p>
            <w:pPr>
              <w:tabs>
                <w:tab w:val="left" w:pos="540"/>
              </w:tabs>
              <w:spacing w:line="240" w:lineRule="exact"/>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w:t>
            </w:r>
            <w:r>
              <w:rPr>
                <w:rFonts w:hint="eastAsia" w:ascii="Times New Roman" w:hAnsi="Times New Roman" w:cs="宋体"/>
                <w:lang w:eastAsia="zh-CN"/>
              </w:rPr>
              <w:t>每半年</w:t>
            </w:r>
            <w:r>
              <w:rPr>
                <w:rFonts w:hint="eastAsia" w:ascii="Times New Roman" w:hAnsi="Times New Roman" w:cs="宋体"/>
              </w:rPr>
              <w:t>考核一次，</w:t>
            </w:r>
            <w:r>
              <w:rPr>
                <w:rFonts w:hint="eastAsia" w:ascii="Times New Roman" w:hAnsi="Times New Roman" w:cs="宋体"/>
                <w:lang w:val="en-US" w:eastAsia="zh-CN"/>
              </w:rPr>
              <w:t>查看2020年上半年各部门目标考核记录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采购部</w:t>
            </w:r>
            <w:r>
              <w:rPr>
                <w:rFonts w:hint="eastAsia" w:ascii="Times New Roman" w:hAnsi="Times New Roman" w:cs="宋体"/>
              </w:rPr>
              <w:t>组织编写，总经理批准发布实施，</w:t>
            </w:r>
            <w:r>
              <w:rPr>
                <w:rFonts w:hint="eastAsia" w:cs="宋体"/>
                <w:lang w:eastAsia="zh-CN"/>
              </w:rPr>
              <w:t>采购部</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eastAsia="zh-CN"/>
              </w:rPr>
              <w:t>采购部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采购部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20</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电脑、一体机、电话、货架等办公及仓储设备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bookmarkStart w:id="20" w:name="生产地址"/>
            <w:r>
              <w:t>天津市武清区源和道16号</w:t>
            </w:r>
            <w:bookmarkEnd w:id="20"/>
            <w:r>
              <w:rPr>
                <w:rFonts w:hint="eastAsia" w:cs="宋体"/>
                <w:sz w:val="21"/>
                <w:szCs w:val="21"/>
              </w:rPr>
              <w:t>，</w:t>
            </w:r>
            <w:r>
              <w:rPr>
                <w:rFonts w:hint="eastAsia"/>
                <w:color w:val="auto"/>
                <w:sz w:val="21"/>
                <w:szCs w:val="21"/>
                <w:lang w:eastAsia="zh-CN"/>
              </w:rPr>
              <w:t>办公区域面积</w:t>
            </w:r>
            <w:r>
              <w:rPr>
                <w:rFonts w:hint="eastAsia"/>
                <w:color w:val="auto"/>
                <w:sz w:val="21"/>
                <w:szCs w:val="21"/>
                <w:lang w:val="en-US" w:eastAsia="zh-CN"/>
              </w:rPr>
              <w:t>180平米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val="en-US" w:eastAsia="zh-CN"/>
              </w:rPr>
            </w:pPr>
            <w:r>
              <w:rPr>
                <w:rFonts w:hint="eastAsia" w:ascii="Times New Roman" w:hAnsi="Times New Roman" w:cs="Times New Roman"/>
                <w:sz w:val="21"/>
                <w:szCs w:val="21"/>
                <w:lang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r>
              <w:rPr>
                <w:rFonts w:hint="eastAsia" w:ascii="Times New Roman" w:hAnsi="Times New Roman" w:cs="Times New Roman"/>
                <w:sz w:val="21"/>
                <w:szCs w:val="21"/>
                <w:lang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240" w:lineRule="exact"/>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240" w:lineRule="exact"/>
              <w:rPr>
                <w:rFonts w:hint="eastAsia"/>
              </w:rPr>
            </w:pPr>
            <w:r>
              <w:rPr>
                <w:rFonts w:hint="eastAsia"/>
                <w:lang w:val="en-US" w:eastAsia="zh-CN"/>
              </w:rPr>
              <w:t>质量方针：质量向上</w:t>
            </w:r>
            <w:r>
              <w:rPr>
                <w:rFonts w:hint="eastAsia"/>
              </w:rPr>
              <w:t xml:space="preserve">   顾客满意    </w:t>
            </w:r>
            <w:r>
              <w:rPr>
                <w:rFonts w:hint="eastAsia"/>
                <w:lang w:val="en-US" w:eastAsia="zh-CN"/>
              </w:rPr>
              <w:t>科技创新</w:t>
            </w:r>
            <w:r>
              <w:rPr>
                <w:rFonts w:hint="eastAsia"/>
              </w:rPr>
              <w:t xml:space="preserve">   持续改进</w:t>
            </w:r>
          </w:p>
          <w:p>
            <w:pPr>
              <w:spacing w:line="240" w:lineRule="exact"/>
              <w:rPr>
                <w:rFonts w:hint="eastAsia"/>
              </w:rPr>
            </w:pPr>
            <w:r>
              <w:rPr>
                <w:rFonts w:hint="eastAsia"/>
              </w:rPr>
              <w:t xml:space="preserve">环境方针：防污节能   遵规守法   绿色环保   持续改进   </w:t>
            </w:r>
          </w:p>
          <w:p>
            <w:pPr>
              <w:spacing w:line="240" w:lineRule="exact"/>
              <w:rPr>
                <w:rFonts w:hint="eastAsia"/>
              </w:rPr>
            </w:pPr>
            <w:r>
              <w:rPr>
                <w:rFonts w:hint="eastAsia"/>
              </w:rPr>
              <w:t>职业健康安全方针：消除隐患   保障健康   遵规守法   持续改进</w:t>
            </w:r>
          </w:p>
          <w:p>
            <w:pPr>
              <w:keepNext w:val="0"/>
              <w:keepLines w:val="0"/>
              <w:pageBreakBefore w:val="0"/>
              <w:kinsoku/>
              <w:wordWrap/>
              <w:overflowPunct/>
              <w:topLinePunct w:val="0"/>
              <w:bidi w:val="0"/>
              <w:snapToGrid/>
              <w:spacing w:line="360" w:lineRule="exact"/>
              <w:textAlignment w:val="auto"/>
            </w:pPr>
            <w:r>
              <w:rPr>
                <w:rFonts w:hint="eastAsia" w:cs="宋体"/>
              </w:rPr>
              <w:t>管理方针与企业的经营宗旨相适应，协调；</w:t>
            </w:r>
          </w:p>
          <w:p>
            <w:pPr>
              <w:spacing w:line="300" w:lineRule="exact"/>
              <w:ind w:left="1"/>
              <w:rPr>
                <w:b/>
                <w:color w:val="000000" w:themeColor="text1"/>
                <w:sz w:val="20"/>
                <w:szCs w:val="20"/>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Times New Roman"/>
                <w:szCs w:val="21"/>
                <w:lang w:val="en-US" w:eastAsia="zh-CN"/>
              </w:rPr>
              <w:t>与上</w:t>
            </w:r>
            <w:r>
              <w:rPr>
                <w:rFonts w:hint="eastAsia" w:ascii="宋体" w:hAnsi="宋体"/>
                <w:szCs w:val="21"/>
              </w:rPr>
              <w:t>级主管部门的沟通，目前沟通都较为顺畅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销售部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w:t>
            </w:r>
            <w:r>
              <w:rPr>
                <w:rFonts w:hint="eastAsia"/>
                <w:b w:val="0"/>
                <w:bCs w:val="0"/>
                <w:sz w:val="21"/>
                <w:szCs w:val="21"/>
                <w:lang w:val="en-US" w:eastAsia="zh-CN"/>
              </w:rPr>
              <w:t>PLC控制器、扩展模块、通讯信号板、变频器、操作面板、电动调节执行器、二通阀、触摸屏自主终端、人机界面、温度传感器、加湿器、控制柜等</w:t>
            </w:r>
            <w:r>
              <w:rPr>
                <w:rFonts w:hint="eastAsia"/>
                <w:sz w:val="21"/>
                <w:szCs w:val="21"/>
                <w:lang w:val="en-US" w:eastAsia="zh-CN"/>
              </w:rPr>
              <w:t>，</w:t>
            </w:r>
            <w:r>
              <w:rPr>
                <w:rFonts w:hint="eastAsia"/>
                <w:sz w:val="21"/>
                <w:szCs w:val="21"/>
              </w:rPr>
              <w:t>编制</w:t>
            </w:r>
            <w:r>
              <w:rPr>
                <w:rFonts w:hint="eastAsia"/>
                <w:sz w:val="21"/>
                <w:szCs w:val="21"/>
                <w:lang w:eastAsia="zh-CN"/>
              </w:rPr>
              <w:t>进货检验规范</w:t>
            </w:r>
            <w:r>
              <w:rPr>
                <w:rFonts w:hint="eastAsia"/>
                <w:sz w:val="21"/>
                <w:szCs w:val="21"/>
              </w:rPr>
              <w:t>等作业文件规定采购产品质量要求；其次对供方进行了评价，</w:t>
            </w:r>
            <w:r>
              <w:rPr>
                <w:rFonts w:hint="eastAsia"/>
                <w:color w:val="auto"/>
                <w:sz w:val="21"/>
                <w:szCs w:val="21"/>
                <w:lang w:val="en-US" w:eastAsia="zh-CN"/>
              </w:rPr>
              <w:t>未提供对产品运输外包方进行评价的证据</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rPr>
              <w:t>与顾客有关的过程控制程序</w:t>
            </w:r>
            <w:r>
              <w:rPr>
                <w:rFonts w:hint="eastAsia" w:ascii="宋体" w:hAnsi="宋体"/>
                <w:sz w:val="21"/>
                <w:szCs w:val="21"/>
                <w:lang w:val="en-US" w:eastAsia="zh-CN"/>
              </w:rPr>
              <w:t>》、《</w:t>
            </w:r>
            <w:r>
              <w:rPr>
                <w:rFonts w:hint="eastAsia" w:ascii="宋体" w:hAnsi="宋体"/>
                <w:color w:val="000000"/>
                <w:szCs w:val="21"/>
              </w:rPr>
              <w:t>服务过程控制程序</w:t>
            </w:r>
            <w:r>
              <w:rPr>
                <w:rFonts w:hint="eastAsia" w:ascii="宋体" w:hAnsi="宋体"/>
                <w:sz w:val="21"/>
                <w:szCs w:val="21"/>
                <w:lang w:val="en-US" w:eastAsia="zh-CN"/>
              </w:rPr>
              <w:t>》、《</w:t>
            </w:r>
            <w:r>
              <w:rPr>
                <w:rFonts w:hint="eastAsia" w:ascii="宋体" w:hAnsi="宋体"/>
                <w:color w:val="000000"/>
                <w:spacing w:val="4"/>
                <w:szCs w:val="21"/>
              </w:rPr>
              <w:t>顾客满</w:t>
            </w:r>
            <w:r>
              <w:rPr>
                <w:rFonts w:hint="eastAsia" w:ascii="宋体" w:hAnsi="宋体"/>
                <w:color w:val="000000"/>
                <w:spacing w:val="4"/>
                <w:szCs w:val="21"/>
                <w:lang w:eastAsia="zh-CN"/>
              </w:rPr>
              <w:t>度的监视和测量控制</w:t>
            </w:r>
            <w:r>
              <w:rPr>
                <w:rFonts w:hint="eastAsia" w:ascii="宋体" w:hAnsi="宋体"/>
                <w:color w:val="000000"/>
                <w:spacing w:val="4"/>
                <w:szCs w:val="21"/>
              </w:rPr>
              <w:t>程序</w:t>
            </w:r>
            <w:r>
              <w:rPr>
                <w:rFonts w:hint="eastAsia" w:ascii="宋体" w:hAnsi="宋体"/>
                <w:color w:val="000000"/>
                <w:spacing w:val="4"/>
                <w:szCs w:val="21"/>
                <w:lang w:eastAsia="zh-CN"/>
              </w:rPr>
              <w:t>》</w:t>
            </w:r>
            <w:r>
              <w:rPr>
                <w:rFonts w:hint="eastAsia"/>
                <w:sz w:val="21"/>
                <w:szCs w:val="21"/>
                <w:lang w:val="en-US" w:eastAsia="zh-CN"/>
              </w:rPr>
              <w:t>，由项目负责人组织人员、物资等资源进行销售服务，</w:t>
            </w:r>
            <w:r>
              <w:rPr>
                <w:rFonts w:hint="eastAsia" w:ascii="宋体" w:hAnsi="宋体"/>
                <w:sz w:val="21"/>
                <w:szCs w:val="21"/>
                <w:lang w:val="en-US" w:eastAsia="zh-CN"/>
              </w:rPr>
              <w:t>行跟踪</w:t>
            </w:r>
            <w:r>
              <w:rPr>
                <w:rFonts w:hint="eastAsia" w:ascii="宋体" w:hAnsi="宋体"/>
                <w:sz w:val="21"/>
                <w:szCs w:val="21"/>
              </w:rPr>
              <w:t>，</w:t>
            </w:r>
            <w:r>
              <w:rPr>
                <w:rFonts w:hint="eastAsia" w:ascii="宋体" w:hAnsi="宋体"/>
                <w:sz w:val="21"/>
                <w:szCs w:val="21"/>
                <w:lang w:val="en-US" w:eastAsia="zh-CN"/>
              </w:rPr>
              <w:t>评审服务的完成情况、服务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spacing w:line="240" w:lineRule="exact"/>
              <w:rPr>
                <w:b/>
                <w:color w:val="000000" w:themeColor="text1"/>
                <w:sz w:val="20"/>
                <w:szCs w:val="20"/>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eastAsia="zh-CN"/>
              </w:rPr>
            </w:pPr>
            <w:r>
              <w:rPr>
                <w:rFonts w:hint="eastAsia"/>
                <w:b/>
                <w:color w:val="000000" w:themeColor="text1"/>
                <w:sz w:val="20"/>
                <w:szCs w:val="20"/>
                <w:lang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eastAsia="宋体" w:cs="宋体"/>
              </w:rPr>
              <w:t>健康、安全与环境运行控制程序</w:t>
            </w:r>
            <w:r>
              <w:rPr>
                <w:rFonts w:hint="eastAsia" w:ascii="宋体" w:hAnsi="宋体" w:eastAsia="宋体" w:cs="宋体"/>
                <w:lang w:eastAsia="zh-CN"/>
              </w:rPr>
              <w:t>、办公区管理制度、进入顾客现场管理制度、三级安全教育制度，</w:t>
            </w:r>
            <w:r>
              <w:rPr>
                <w:rFonts w:hint="eastAsia"/>
                <w:sz w:val="21"/>
                <w:szCs w:val="21"/>
              </w:rPr>
              <w:t>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提供有办公区5S检查表、相关方告知书及发放记录。</w:t>
            </w:r>
            <w:r>
              <w:rPr>
                <w:rFonts w:hint="eastAsia"/>
                <w:color w:val="auto"/>
                <w:sz w:val="21"/>
                <w:szCs w:val="21"/>
                <w:lang w:val="en-US" w:eastAsia="zh-CN"/>
              </w:rPr>
              <w:t>抽相关方，未能提供对产品运输外包方</w:t>
            </w:r>
            <w:r>
              <w:rPr>
                <w:rFonts w:hint="eastAsia" w:ascii="方正仿宋简体" w:eastAsia="方正仿宋简体"/>
                <w:b w:val="0"/>
                <w:bCs/>
                <w:color w:val="auto"/>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OHSMS组织对不可接受风险实施控制的结果</w:t>
            </w:r>
          </w:p>
          <w:p>
            <w:pPr>
              <w:numPr>
                <w:ilvl w:val="0"/>
                <w:numId w:val="0"/>
              </w:num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eastAsia="宋体" w:cs="宋体"/>
              </w:rPr>
              <w:t>健康、安全与环境运行控制程序</w:t>
            </w:r>
            <w:r>
              <w:rPr>
                <w:rFonts w:hint="eastAsia"/>
                <w:sz w:val="21"/>
                <w:szCs w:val="21"/>
                <w:lang w:val="en-GB"/>
              </w:rPr>
              <w:t>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w:t>
            </w:r>
            <w:r>
              <w:rPr>
                <w:rFonts w:hint="eastAsia"/>
                <w:sz w:val="21"/>
                <w:szCs w:val="21"/>
                <w:lang w:eastAsia="zh-CN"/>
              </w:rPr>
              <w:t>病毒感染、</w:t>
            </w:r>
            <w:r>
              <w:rPr>
                <w:rFonts w:hint="eastAsia"/>
                <w:sz w:val="21"/>
                <w:szCs w:val="21"/>
              </w:rPr>
              <w:t>相关方施加影响等进行控制，具体措施有对员工进行安全教育，对相关方进行告知</w:t>
            </w:r>
            <w:r>
              <w:rPr>
                <w:rFonts w:hint="eastAsia"/>
                <w:color w:val="auto"/>
                <w:sz w:val="21"/>
                <w:szCs w:val="21"/>
              </w:rPr>
              <w:t>，</w:t>
            </w:r>
            <w:r>
              <w:rPr>
                <w:rFonts w:hint="eastAsia"/>
                <w:color w:val="auto"/>
                <w:sz w:val="21"/>
                <w:szCs w:val="21"/>
                <w:lang w:val="en-US" w:eastAsia="zh-CN"/>
              </w:rPr>
              <w:t>但未能提供对产品运输方</w:t>
            </w:r>
            <w:r>
              <w:rPr>
                <w:rFonts w:hint="eastAsia" w:ascii="方正仿宋简体" w:eastAsia="方正仿宋简体"/>
                <w:b w:val="0"/>
                <w:bCs/>
                <w:color w:val="auto"/>
                <w:lang w:val="en-US" w:eastAsia="zh-CN"/>
              </w:rPr>
              <w:t>施加影响的证据。</w:t>
            </w:r>
            <w:r>
              <w:rPr>
                <w:rFonts w:hint="eastAsia"/>
                <w:color w:val="auto"/>
                <w:sz w:val="21"/>
                <w:szCs w:val="21"/>
              </w:rPr>
              <w:t>办公区域干净整洁，配置灭火器等消防设施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lang w:val="en-GB"/>
              </w:rPr>
              <w:t>编制应急准备和响应控制程序，识别的潜在意外紧急情况为火灾、触电</w:t>
            </w:r>
            <w:r>
              <w:rPr>
                <w:rFonts w:hint="eastAsia"/>
                <w:sz w:val="21"/>
                <w:szCs w:val="21"/>
                <w:lang w:val="en-GB" w:eastAsia="zh-CN"/>
              </w:rPr>
              <w:t>、感染新冠肺炎</w:t>
            </w:r>
            <w:r>
              <w:rPr>
                <w:rFonts w:hint="eastAsia"/>
                <w:sz w:val="21"/>
                <w:szCs w:val="21"/>
                <w:lang w:val="en-GB"/>
              </w:rPr>
              <w:t>等。编制了应急预案，组织了消防演练</w:t>
            </w:r>
            <w:r>
              <w:rPr>
                <w:rFonts w:hint="eastAsia"/>
                <w:sz w:val="21"/>
                <w:szCs w:val="21"/>
                <w:lang w:val="en-US" w:eastAsia="zh-CN"/>
              </w:rPr>
              <w:t>演练、触电应急演练、突发新冠肺炎疑似病例事件演练</w:t>
            </w:r>
            <w:r>
              <w:rPr>
                <w:rFonts w:hint="eastAsia"/>
                <w:sz w:val="21"/>
                <w:szCs w:val="21"/>
                <w:lang w:val="en-GB"/>
              </w:rPr>
              <w:t>，提供了</w:t>
            </w:r>
            <w:r>
              <w:rPr>
                <w:rFonts w:hint="eastAsia"/>
                <w:sz w:val="21"/>
                <w:szCs w:val="21"/>
                <w:lang w:val="en-GB" w:eastAsia="zh-CN"/>
              </w:rPr>
              <w:t>相应</w:t>
            </w:r>
            <w:r>
              <w:rPr>
                <w:rFonts w:hint="eastAsia"/>
                <w:sz w:val="21"/>
                <w:szCs w:val="21"/>
                <w:lang w:val="en-GB"/>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eastAsia="zh-CN"/>
              </w:rPr>
              <w:t>半年</w:t>
            </w:r>
            <w:r>
              <w:rPr>
                <w:rFonts w:hint="eastAsia"/>
                <w:sz w:val="21"/>
                <w:szCs w:val="21"/>
              </w:rPr>
              <w:t>考核一次，查看20</w:t>
            </w:r>
            <w:r>
              <w:rPr>
                <w:rFonts w:hint="eastAsia"/>
                <w:sz w:val="21"/>
                <w:szCs w:val="21"/>
                <w:lang w:val="en-US" w:eastAsia="zh-CN"/>
              </w:rPr>
              <w:t>20</w:t>
            </w:r>
            <w:r>
              <w:rPr>
                <w:rFonts w:hint="eastAsia"/>
                <w:sz w:val="21"/>
                <w:szCs w:val="21"/>
              </w:rPr>
              <w:t>年</w:t>
            </w:r>
            <w:r>
              <w:rPr>
                <w:rFonts w:hint="eastAsia"/>
                <w:sz w:val="21"/>
                <w:szCs w:val="21"/>
                <w:lang w:val="en-US" w:eastAsia="zh-CN"/>
              </w:rPr>
              <w:t>6月</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0"/>
              </w:numPr>
              <w:spacing w:line="240" w:lineRule="exact"/>
              <w:ind w:leftChars="-50"/>
              <w:rPr>
                <w:rFonts w:hint="eastAsia"/>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顾客满意</w:t>
            </w:r>
          </w:p>
          <w:p>
            <w:pPr>
              <w:numPr>
                <w:ilvl w:val="0"/>
                <w:numId w:val="0"/>
              </w:numPr>
              <w:spacing w:line="240" w:lineRule="exact"/>
              <w:ind w:leftChars="-50"/>
              <w:rPr>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cs="Times New Roman"/>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20年9月1日—2日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9</w:t>
            </w:r>
            <w:r>
              <w:rPr>
                <w:rFonts w:hint="eastAsia" w:cs="宋体"/>
              </w:rPr>
              <w:t>月</w:t>
            </w:r>
            <w:r>
              <w:rPr>
                <w:rFonts w:hint="eastAsia" w:cs="宋体"/>
                <w:lang w:val="en-US" w:eastAsia="zh-CN"/>
              </w:rPr>
              <w:t>10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auto"/>
                <w:sz w:val="20"/>
                <w:szCs w:val="20"/>
                <w:lang w:eastAsia="zh-CN"/>
              </w:rPr>
            </w:pPr>
            <w:r>
              <w:rPr>
                <w:rFonts w:hint="eastAsia"/>
                <w:b/>
                <w:color w:val="auto"/>
                <w:sz w:val="20"/>
                <w:szCs w:val="20"/>
                <w:lang w:eastAsia="zh-CN"/>
              </w:rPr>
              <w:t>对员工进行了体检的证据，符合要求。无职业病。</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3"/>
              </w:numPr>
              <w:spacing w:line="240" w:lineRule="exact"/>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3"/>
              </w:num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auto"/>
        </w:rPr>
        <w:t>1. 本次审核共开具不符合项报告</w:t>
      </w:r>
      <w:r>
        <w:rPr>
          <w:rFonts w:hint="eastAsia"/>
          <w:b/>
          <w:color w:val="auto"/>
          <w:lang w:val="en-US" w:eastAsia="zh-CN"/>
        </w:rPr>
        <w:t>1</w:t>
      </w:r>
      <w:r>
        <w:rPr>
          <w:rFonts w:hint="eastAsia"/>
          <w:b/>
          <w:color w:val="auto"/>
        </w:rPr>
        <w:t>项；其中</w:t>
      </w:r>
      <w:r>
        <w:rPr>
          <w:b/>
          <w:color w:val="auto"/>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rPr>
        <w:t>严重不符合</w:t>
      </w:r>
      <w:r>
        <w:rPr>
          <w:rFonts w:hint="eastAsia"/>
          <w:b/>
          <w:color w:val="auto"/>
          <w:lang w:val="en-US" w:eastAsia="zh-CN"/>
        </w:rPr>
        <w:t>0</w:t>
      </w:r>
      <w:r>
        <w:rPr>
          <w:rFonts w:hint="eastAsia"/>
          <w:b/>
          <w:color w:val="auto"/>
        </w:rPr>
        <w:t>项，一般不符合</w:t>
      </w:r>
      <w:r>
        <w:rPr>
          <w:rFonts w:hint="eastAsia"/>
          <w:b/>
          <w:color w:val="auto"/>
          <w:lang w:val="en-US" w:eastAsia="zh-CN"/>
        </w:rPr>
        <w:t>1</w:t>
      </w:r>
      <w:r>
        <w:rPr>
          <w:rFonts w:hint="eastAsia"/>
          <w:b/>
          <w:color w:val="auto"/>
        </w:rPr>
        <w:t>项，观察项</w:t>
      </w:r>
      <w:r>
        <w:rPr>
          <w:rFonts w:hint="eastAsia"/>
          <w:b/>
          <w:color w:val="auto"/>
          <w:lang w:val="en-US" w:eastAsia="zh-CN"/>
        </w:rPr>
        <w:t>0</w:t>
      </w:r>
      <w:r>
        <w:rPr>
          <w:rFonts w:hint="eastAsia"/>
          <w:b/>
          <w:color w:val="auto"/>
        </w:rPr>
        <w:t>项</w:t>
      </w:r>
      <w:r>
        <w:rPr>
          <w:rFonts w:hint="eastAsia"/>
          <w:b/>
          <w:color w:val="auto"/>
          <w:lang w:eastAsia="zh-CN"/>
        </w:rPr>
        <w:t>，</w:t>
      </w:r>
      <w:r>
        <w:rPr>
          <w:rFonts w:hint="eastAsia"/>
          <w:b/>
          <w:color w:val="auto"/>
        </w:rPr>
        <w:t>分布在</w:t>
      </w:r>
      <w:r>
        <w:rPr>
          <w:rFonts w:hint="eastAsia"/>
          <w:b/>
          <w:color w:val="auto"/>
          <w:lang w:eastAsia="zh-CN"/>
        </w:rPr>
        <w:t>采购部的</w:t>
      </w:r>
      <w:r>
        <w:rPr>
          <w:rFonts w:hint="eastAsia"/>
          <w:b/>
          <w:color w:val="auto"/>
        </w:rPr>
        <w:t>条款，GB/T19001-2016标准的</w:t>
      </w:r>
      <w:r>
        <w:rPr>
          <w:rFonts w:hint="eastAsia"/>
          <w:b/>
          <w:color w:val="auto"/>
          <w:lang w:val="en-US" w:eastAsia="zh-CN"/>
        </w:rPr>
        <w:t>8.4.1</w:t>
      </w:r>
      <w:r>
        <w:rPr>
          <w:rFonts w:hint="eastAsia"/>
          <w:b/>
          <w:color w:val="auto"/>
        </w:rPr>
        <w:t>条款，GB/T24001-2016标准的</w:t>
      </w:r>
      <w:r>
        <w:rPr>
          <w:rFonts w:hint="eastAsia"/>
          <w:b/>
          <w:color w:val="auto"/>
          <w:lang w:val="en-US" w:eastAsia="zh-CN"/>
        </w:rPr>
        <w:t>8.1</w:t>
      </w:r>
      <w:r>
        <w:rPr>
          <w:rFonts w:hint="eastAsia"/>
          <w:b/>
          <w:color w:val="auto"/>
        </w:rPr>
        <w:t>条款，</w:t>
      </w:r>
      <w:r>
        <w:rPr>
          <w:rFonts w:hint="eastAsia"/>
          <w:b/>
          <w:color w:val="auto"/>
          <w:lang w:val="en-US" w:eastAsia="zh-CN"/>
        </w:rPr>
        <w:t>GB/T45001-2020</w:t>
      </w:r>
      <w:r>
        <w:rPr>
          <w:rFonts w:hint="eastAsia"/>
          <w:b/>
          <w:color w:val="auto"/>
        </w:rPr>
        <w:t>标准的</w:t>
      </w:r>
      <w:r>
        <w:rPr>
          <w:rFonts w:hint="eastAsia"/>
          <w:b/>
          <w:color w:val="auto"/>
          <w:lang w:val="en-US" w:eastAsia="zh-CN"/>
        </w:rPr>
        <w:t>8.1.4</w:t>
      </w:r>
      <w:r>
        <w:rPr>
          <w:rFonts w:hint="eastAsia"/>
          <w:b/>
          <w:color w:val="auto"/>
        </w:rPr>
        <w:t>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sz w:val="21"/>
                <w:szCs w:val="21"/>
                <w:u w:val="single"/>
              </w:rPr>
              <w:t>路特斯科技（天津）有限公司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keepNext w:val="0"/>
              <w:keepLines w:val="0"/>
              <w:pageBreakBefore w:val="0"/>
              <w:widowControl w:val="0"/>
              <w:kinsoku/>
              <w:wordWrap/>
              <w:overflowPunct/>
              <w:topLinePunct w:val="0"/>
              <w:autoSpaceDE/>
              <w:autoSpaceDN/>
              <w:bidi w:val="0"/>
              <w:adjustRightInd/>
              <w:snapToGrid w:val="0"/>
              <w:textAlignment w:val="auto"/>
              <w:rPr>
                <w:rFonts w:ascii="宋体" w:hAnsi="宋体"/>
                <w:b/>
                <w:color w:val="000000" w:themeColor="text1"/>
                <w:u w:val="single"/>
              </w:rPr>
            </w:pPr>
            <w:r>
              <w:rPr>
                <w:rFonts w:ascii="宋体" w:hAnsi="宋体"/>
                <w:b/>
                <w:color w:val="000000" w:themeColor="text1"/>
              </w:rPr>
              <w:t>QMS:</w:t>
            </w:r>
            <w:r>
              <w:rPr>
                <w:sz w:val="20"/>
              </w:rPr>
              <w:t>加湿器、仪器仪表（控制器、变频器、触摸屏、触摸屏自主终端、压差传感器、温湿度传感器、尘埃粒子计数器）、空调设备及配件、配电开关自动控制设备的销售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0"/>
              </w:rPr>
              <w:t>加湿器、仪器仪表（控制器、变频器、触摸屏、触摸屏自主终端、压差传感器、温湿度传感器、尘埃粒子计数器）、空调设备及配件、配电开关自动控制设备的销售所涉及场所的相关环境管理活动</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sz w:val="20"/>
              </w:rPr>
              <w:t>加湿器、仪器仪表（控制器、变频器、触摸屏、触摸屏自主终端、压差传感器、温湿度传感器、尘埃粒子计数器）、空调设备及配件、配电开关自动控制设备的销售所涉及场所的相关职业健康安全管理活动</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1546860</wp:posOffset>
            </wp:positionH>
            <wp:positionV relativeFrom="paragraph">
              <wp:posOffset>226695</wp:posOffset>
            </wp:positionV>
            <wp:extent cx="953135" cy="506095"/>
            <wp:effectExtent l="0" t="0" r="18415" b="8255"/>
            <wp:wrapNone/>
            <wp:docPr id="4" name="图片 4" descr="3a6222717489ae1c7035839cd83f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a6222717489ae1c7035839cd83f611"/>
                    <pic:cNvPicPr>
                      <a:picLocks noChangeAspect="1"/>
                    </pic:cNvPicPr>
                  </pic:nvPicPr>
                  <pic:blipFill>
                    <a:blip r:embed="rId6"/>
                    <a:stretch>
                      <a:fillRect/>
                    </a:stretch>
                  </pic:blipFill>
                  <pic:spPr>
                    <a:xfrm>
                      <a:off x="0" y="0"/>
                      <a:ext cx="953135" cy="50609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1568450</wp:posOffset>
            </wp:positionH>
            <wp:positionV relativeFrom="paragraph">
              <wp:posOffset>47625</wp:posOffset>
            </wp:positionV>
            <wp:extent cx="972185" cy="438785"/>
            <wp:effectExtent l="0" t="0" r="18415" b="18415"/>
            <wp:wrapNone/>
            <wp:docPr id="5" name="图片 5" descr="ba3fd1d2e11909a839a40cfb26e5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a3fd1d2e11909a839a40cfb26e562d"/>
                    <pic:cNvPicPr>
                      <a:picLocks noChangeAspect="1"/>
                    </pic:cNvPicPr>
                  </pic:nvPicPr>
                  <pic:blipFill>
                    <a:blip r:embed="rId7"/>
                    <a:stretch>
                      <a:fillRect/>
                    </a:stretch>
                  </pic:blipFill>
                  <pic:spPr>
                    <a:xfrm>
                      <a:off x="0" y="0"/>
                      <a:ext cx="972185" cy="43878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7456" behindDoc="0" locked="0" layoutInCell="1" allowOverlap="1">
            <wp:simplePos x="0" y="0"/>
            <wp:positionH relativeFrom="column">
              <wp:posOffset>737235</wp:posOffset>
            </wp:positionH>
            <wp:positionV relativeFrom="paragraph">
              <wp:posOffset>30480</wp:posOffset>
            </wp:positionV>
            <wp:extent cx="953135" cy="506095"/>
            <wp:effectExtent l="0" t="0" r="18415" b="8255"/>
            <wp:wrapNone/>
            <wp:docPr id="6" name="图片 6" descr="3a6222717489ae1c7035839cd83f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a6222717489ae1c7035839cd83f611"/>
                    <pic:cNvPicPr>
                      <a:picLocks noChangeAspect="1"/>
                    </pic:cNvPicPr>
                  </pic:nvPicPr>
                  <pic:blipFill>
                    <a:blip r:embed="rId6"/>
                    <a:stretch>
                      <a:fillRect/>
                    </a:stretch>
                  </pic:blipFill>
                  <pic:spPr>
                    <a:xfrm>
                      <a:off x="0" y="0"/>
                      <a:ext cx="953135" cy="506095"/>
                    </a:xfrm>
                    <a:prstGeom prst="rect">
                      <a:avLst/>
                    </a:prstGeom>
                  </pic:spPr>
                </pic:pic>
              </a:graphicData>
            </a:graphic>
          </wp:anchor>
        </w:drawing>
      </w:r>
      <w:r>
        <w:rPr>
          <w:rFonts w:hint="eastAsia"/>
          <w:b/>
          <w:color w:val="000000" w:themeColor="text1"/>
          <w:szCs w:val="21"/>
        </w:rPr>
        <w:t xml:space="preserve">组长签字:                               日期: </w:t>
      </w:r>
      <w:r>
        <w:rPr>
          <w:rFonts w:hint="eastAsia"/>
          <w:b/>
          <w:color w:val="auto"/>
          <w:szCs w:val="21"/>
        </w:rPr>
        <w:t xml:space="preserve"> </w:t>
      </w:r>
      <w:r>
        <w:rPr>
          <w:rFonts w:hint="eastAsia"/>
          <w:b/>
          <w:color w:val="auto"/>
          <w:szCs w:val="21"/>
          <w:lang w:val="en-US" w:eastAsia="zh-CN"/>
        </w:rPr>
        <w:t>2020</w:t>
      </w:r>
      <w:r>
        <w:rPr>
          <w:rFonts w:hint="eastAsia"/>
          <w:b/>
          <w:color w:val="auto"/>
          <w:szCs w:val="21"/>
        </w:rPr>
        <w:t>年</w:t>
      </w:r>
      <w:r>
        <w:rPr>
          <w:rFonts w:hint="eastAsia"/>
          <w:b/>
          <w:color w:val="auto"/>
          <w:szCs w:val="21"/>
          <w:lang w:val="en-US" w:eastAsia="zh-CN"/>
        </w:rPr>
        <w:t>12</w:t>
      </w:r>
      <w:r>
        <w:rPr>
          <w:rFonts w:hint="eastAsia"/>
          <w:b/>
          <w:color w:val="auto"/>
          <w:szCs w:val="21"/>
        </w:rPr>
        <w:t>月</w:t>
      </w:r>
      <w:r>
        <w:rPr>
          <w:rFonts w:hint="eastAsia"/>
          <w:b/>
          <w:color w:val="auto"/>
          <w:szCs w:val="21"/>
          <w:lang w:val="en-US" w:eastAsia="zh-CN"/>
        </w:rPr>
        <w:t>3</w:t>
      </w:r>
      <w:bookmarkStart w:id="22" w:name="_GoBack"/>
      <w:bookmarkEnd w:id="22"/>
      <w:r>
        <w:rPr>
          <w:rFonts w:hint="eastAsia"/>
          <w:b/>
          <w:color w:val="auto"/>
          <w:szCs w:val="21"/>
          <w:lang w:val="en-US" w:eastAsia="zh-CN"/>
        </w:rPr>
        <w:t>1</w:t>
      </w:r>
      <w:r>
        <w:rPr>
          <w:rFonts w:hint="eastAsia"/>
          <w:b/>
          <w:color w:val="auto"/>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929B2A"/>
    <w:multiLevelType w:val="singleLevel"/>
    <w:tmpl w:val="4B929B2A"/>
    <w:lvl w:ilvl="0" w:tentative="0">
      <w:start w:val="9"/>
      <w:numFmt w:val="decimal"/>
      <w:suff w:val="space"/>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633B4C"/>
    <w:rsid w:val="5ECA2C17"/>
    <w:rsid w:val="5F4901DB"/>
    <w:rsid w:val="68F07443"/>
    <w:rsid w:val="7483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2"/>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limengsheng</cp:lastModifiedBy>
  <cp:lastPrinted>2019-05-13T03:19:00Z</cp:lastPrinted>
  <dcterms:modified xsi:type="dcterms:W3CDTF">2020-12-31T07:49:15Z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