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84"/>
        <w:gridCol w:w="3854"/>
        <w:gridCol w:w="1768"/>
        <w:gridCol w:w="2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0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北京中斯水灵水处理技术有限公司</w:t>
            </w:r>
            <w:bookmarkEnd w:id="2"/>
          </w:p>
        </w:tc>
        <w:tc>
          <w:tcPr>
            <w:tcW w:w="17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5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E：28.07.03;29.10.07;34.03.02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O：28.07.03;29.10.07;34.03.02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EC：28.07.03;29.10.07;34.03.02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54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E：28.07.03;29.10.07;34.03.02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O：28.07.03;29.10.07;34.03.02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EC：28.07.03;29.10.07;34.03.0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污水处理技术的研发流程：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信息获取→招标文件评审→现场勘查→投标（议标）、签订合同→组建项目部→项目策划→项目设计→ 设计任务书→ 设计和开发输入→设计和开发计划→设计开发→设计开发输出→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设计开发验证→设计交付。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污水处理设备的销售流程：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签订销售合同→实施采购→送货→检验→交付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污水处理工程专业承包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流程：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项目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lang w:val="en-US" w:eastAsia="zh-CN"/>
              </w:rPr>
              <w:t>输出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→ 施工实施（分部分项）→检验和试验→设备验收→设备调试→生化调试→预验收→整改→竣工验收→运营维保→移交。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：焊接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过程。隐蔽工程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原材料、工艺要求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rPr>
                <w:b w:val="0"/>
                <w:bCs w:val="0"/>
                <w:sz w:val="20"/>
              </w:rPr>
            </w:pPr>
            <w:bookmarkStart w:id="4" w:name="_GoBack"/>
            <w:r>
              <w:rPr>
                <w:rFonts w:hint="eastAsia"/>
                <w:b w:val="0"/>
                <w:bCs w:val="0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重大危险源：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火灾、高处坠落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物体打击、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触电，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b w:val="0"/>
                <w:bCs w:val="0"/>
                <w:sz w:val="20"/>
              </w:rPr>
              <w:t>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GB8978-1996《污水综合排放标准》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《城市污水处理工程项目建设标准》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GB50265-2010《泵站设计规范》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GB50282-2016《城市给水工程规划规范》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、GB50015-2003《建筑给水排水设计规范》、GB38-2002《地表水环境质量标准》、(CJ343-2010)、《污水排入城镇下水道水质标准》、 GB8978-1996《污水综合排放标准》、GB16297-1996《大气污染物综合排放标准》、GB14554-93《恶臭污染物排放标准》、CJT 239-2007《城镇污水处理厂污泥处置分类》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单机测试、联动测试，提供水样测试报告包括：</w:t>
            </w:r>
            <w:r>
              <w:rPr>
                <w:rFonts w:ascii="黑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日生化需氧量 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(BOD5)、 化学需氧量 (COD)、 氨氮、碱度、动植物油、总磷、总氮 </w:t>
            </w:r>
          </w:p>
          <w:p>
            <w:pPr>
              <w:snapToGrid w:val="0"/>
              <w:spacing w:line="280" w:lineRule="exact"/>
              <w:ind w:firstLine="201" w:firstLineChars="1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9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2021.3.11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2021.3.11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3A0E17"/>
    <w:rsid w:val="3A5D15D2"/>
    <w:rsid w:val="3D703D76"/>
    <w:rsid w:val="4BB419DB"/>
    <w:rsid w:val="65130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2021-03-20T16:12:10Z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7EC040DD0FE54E28A216A6973A3C1468</vt:lpwstr>
  </property>
</Properties>
</file>