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0190-2019-QEO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唐县睿智文教用品加工有限公司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Tangxian Wise Culture and Education Products Processing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072350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911306270708482693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13832244978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E:10,Q:10,O:10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E:补充,Q:补充,O:补充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