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李俐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2018-N1EMS-1222792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2018-N1QMS-1222792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2018-N1OHSMS-1222792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ISC[S]0008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张星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2020-N1EMS-1263722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2020-N1QMS-1263722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ISC-263722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河北鼎冠教学器材制造有限公司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河北省保定市唐县王京镇西安乐村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072350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河北省保定市唐县王京镇西安乐村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072350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河北省保定市唐县王京镇西安乐村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072350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南伍水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13703361582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南伍水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南伍水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2021年01月01日 下午至2021年01月01日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E：29.12.00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Q：29.12.00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