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pPr w:leftFromText="180" w:rightFromText="180" w:vertAnchor="text" w:tblpY="1"/>
        <w:tblOverlap w:val="never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216"/>
        <w:gridCol w:w="10099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9" w:type="dxa"/>
            <w:vMerge w:val="restart"/>
            <w:vAlign w:val="center"/>
          </w:tcPr>
          <w:p>
            <w:pPr>
              <w:spacing w:before="120"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过程与活动、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抽样计划</w:t>
            </w:r>
          </w:p>
        </w:tc>
        <w:tc>
          <w:tcPr>
            <w:tcW w:w="1216" w:type="dxa"/>
            <w:vMerge w:val="restart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涉及条款</w:t>
            </w:r>
          </w:p>
        </w:tc>
        <w:tc>
          <w:tcPr>
            <w:tcW w:w="10099" w:type="dxa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受审核部门：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采购部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主管领导：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吴根云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（远程审核）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809" w:type="dxa"/>
            <w:vMerge w:val="continue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216" w:type="dxa"/>
            <w:vMerge w:val="continue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0099" w:type="dxa"/>
            <w:vAlign w:val="center"/>
          </w:tcPr>
          <w:p>
            <w:pPr>
              <w:spacing w:before="120" w:line="24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审核员：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夏楠楠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审核时间：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2021.1.9（8:00-16:30）</w:t>
            </w:r>
          </w:p>
        </w:tc>
        <w:tc>
          <w:tcPr>
            <w:tcW w:w="1585" w:type="dxa"/>
            <w:vMerge w:val="continue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8" w:hRule="atLeast"/>
        </w:trPr>
        <w:tc>
          <w:tcPr>
            <w:tcW w:w="1809" w:type="dxa"/>
            <w:vMerge w:val="continue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216" w:type="dxa"/>
            <w:vMerge w:val="continue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0099" w:type="dxa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审核条款</w:t>
            </w:r>
          </w:p>
          <w:p>
            <w:pPr>
              <w:adjustRightInd w:val="0"/>
              <w:snapToGrid w:val="0"/>
              <w:spacing w:line="240" w:lineRule="auto"/>
              <w:ind w:right="105" w:rightChars="50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QMS:5.3组织的岗位、职责和权限、6.2质量目标8.4外部提供过程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、产品服务的控制</w:t>
            </w:r>
          </w:p>
          <w:p>
            <w:pPr>
              <w:adjustRightInd w:val="0"/>
              <w:snapToGrid w:val="0"/>
              <w:spacing w:line="240" w:lineRule="auto"/>
              <w:ind w:right="105" w:rightChars="50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EMS: 5.3组织的岗位、职责和权限、6.2环境目标、6.1.2环境因素识别与评价、8.1运行策划和控制、8.2应急准备和响应，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OHSMS: 5.3组织的岗位、职责和权限、6.2职业健康安全目标、6.1.2危险源辨识与评价、8.1运行策划和控制、8.2应急准备和响应</w:t>
            </w:r>
          </w:p>
        </w:tc>
        <w:tc>
          <w:tcPr>
            <w:tcW w:w="1585" w:type="dxa"/>
            <w:vMerge w:val="continue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809" w:type="dxa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组织的岗位职责和权限</w:t>
            </w:r>
          </w:p>
        </w:tc>
        <w:tc>
          <w:tcPr>
            <w:tcW w:w="1216" w:type="dxa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QEO5.3  </w:t>
            </w:r>
          </w:p>
        </w:tc>
        <w:tc>
          <w:tcPr>
            <w:tcW w:w="10099" w:type="dxa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部门负责人：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吴根云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主要负责：</w:t>
            </w:r>
          </w:p>
          <w:p>
            <w:pPr>
              <w:numPr>
                <w:ilvl w:val="0"/>
                <w:numId w:val="1"/>
              </w:numPr>
              <w:spacing w:line="24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组织招投标；</w:t>
            </w:r>
          </w:p>
          <w:p>
            <w:pPr>
              <w:numPr>
                <w:ilvl w:val="0"/>
                <w:numId w:val="1"/>
              </w:numPr>
              <w:spacing w:line="240" w:lineRule="auto"/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市场调研；</w:t>
            </w:r>
          </w:p>
          <w:p>
            <w:pPr>
              <w:numPr>
                <w:ilvl w:val="0"/>
                <w:numId w:val="1"/>
              </w:numPr>
              <w:spacing w:line="240" w:lineRule="auto"/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组织合同评审；</w:t>
            </w:r>
          </w:p>
          <w:p>
            <w:pPr>
              <w:numPr>
                <w:ilvl w:val="0"/>
                <w:numId w:val="1"/>
              </w:numPr>
              <w:spacing w:line="240" w:lineRule="auto"/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签订合同；</w:t>
            </w:r>
          </w:p>
          <w:p>
            <w:pPr>
              <w:numPr>
                <w:ilvl w:val="0"/>
                <w:numId w:val="1"/>
              </w:numPr>
              <w:spacing w:line="240" w:lineRule="auto"/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书面交底；</w:t>
            </w:r>
          </w:p>
          <w:p>
            <w:pPr>
              <w:numPr>
                <w:ilvl w:val="0"/>
                <w:numId w:val="1"/>
              </w:numPr>
              <w:spacing w:line="240" w:lineRule="auto"/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向顾客进行环保及安全宣传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；</w:t>
            </w:r>
          </w:p>
          <w:p>
            <w:pPr>
              <w:numPr>
                <w:ilvl w:val="0"/>
                <w:numId w:val="1"/>
              </w:numPr>
              <w:spacing w:line="240" w:lineRule="auto"/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对供方的评审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；</w:t>
            </w:r>
          </w:p>
          <w:p>
            <w:pPr>
              <w:numPr>
                <w:ilvl w:val="0"/>
                <w:numId w:val="1"/>
              </w:numPr>
              <w:spacing w:line="240" w:lineRule="auto"/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贯彻执行公司的方针和管理目标，落实管理手册在本部门的运行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；</w:t>
            </w:r>
          </w:p>
          <w:p>
            <w:pPr>
              <w:numPr>
                <w:ilvl w:val="0"/>
                <w:numId w:val="1"/>
              </w:numPr>
              <w:spacing w:line="240" w:lineRule="auto"/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对相关方的控制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10.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本部门环境因素的识别及其控制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。</w:t>
            </w:r>
          </w:p>
          <w:p>
            <w:pPr>
              <w:spacing w:beforeLines="30" w:afterLines="30" w:line="240" w:lineRule="auto"/>
              <w:ind w:left="420" w:leftChars="200"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经询问，部门经理清楚并能履行好其职责和权限。</w:t>
            </w:r>
          </w:p>
        </w:tc>
        <w:tc>
          <w:tcPr>
            <w:tcW w:w="1585" w:type="dxa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809" w:type="dxa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目标和措施计划（管理方案）</w:t>
            </w:r>
          </w:p>
        </w:tc>
        <w:tc>
          <w:tcPr>
            <w:tcW w:w="1216" w:type="dxa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QEO：6.2  </w:t>
            </w:r>
          </w:p>
        </w:tc>
        <w:tc>
          <w:tcPr>
            <w:tcW w:w="10099" w:type="dxa"/>
            <w:vAlign w:val="center"/>
          </w:tcPr>
          <w:p>
            <w:pPr>
              <w:spacing w:beforeLines="30" w:afterLines="30" w:line="240" w:lineRule="auto"/>
              <w:ind w:firstLine="420" w:firstLineChars="20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查《管理手册》，制定了公司目标，并在管理体系所需的相关职能、层次和过程上建立目标考虑了适用的要求，并与产品和服务的符合性以及增强顾客满意有关，均可测量，并与方针基本一致。目标以公告、会议形式传达、培训和内部沟通等形式进行了沟通。</w:t>
            </w:r>
          </w:p>
          <w:p>
            <w:pPr>
              <w:spacing w:beforeLines="30" w:afterLines="30" w:line="240" w:lineRule="auto"/>
              <w:ind w:firstLine="420" w:firstLineChars="20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管理目标：</w:t>
            </w:r>
          </w:p>
          <w:p>
            <w:pPr>
              <w:spacing w:beforeLines="30" w:afterLines="30" w:line="240" w:lineRule="auto"/>
              <w:ind w:firstLine="420" w:firstLineChars="20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一、质量目标：                                     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 完成情况</w:t>
            </w:r>
          </w:p>
          <w:p>
            <w:pPr>
              <w:spacing w:beforeLines="30" w:afterLines="30" w:line="240" w:lineRule="auto"/>
              <w:ind w:firstLine="420" w:firstLineChars="20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供方评定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合格率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100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％；                            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100%</w:t>
            </w:r>
          </w:p>
          <w:p>
            <w:pPr>
              <w:spacing w:beforeLines="30" w:afterLines="30" w:line="240" w:lineRule="auto"/>
              <w:ind w:firstLine="420" w:firstLineChars="20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二、环境/职业健康安全目标：</w:t>
            </w:r>
          </w:p>
          <w:p>
            <w:pPr>
              <w:spacing w:beforeLines="30" w:afterLines="30" w:line="240" w:lineRule="auto"/>
              <w:ind w:firstLine="420" w:firstLineChars="20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1、固废分类处置率100%；                                 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100%</w:t>
            </w:r>
          </w:p>
          <w:p>
            <w:pPr>
              <w:spacing w:beforeLines="30" w:afterLines="30" w:line="240" w:lineRule="auto"/>
              <w:ind w:firstLine="420" w:firstLineChars="20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火灾事故为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；                                   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  <w:p>
            <w:pPr>
              <w:spacing w:beforeLines="30" w:afterLines="30" w:line="240" w:lineRule="auto"/>
              <w:ind w:firstLine="420" w:firstLineChars="20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交通意外伤害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为0；                                    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 0</w:t>
            </w:r>
          </w:p>
          <w:p>
            <w:pPr>
              <w:spacing w:beforeLines="30" w:afterLines="30" w:line="240" w:lineRule="auto"/>
              <w:ind w:firstLine="420" w:firstLineChars="20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组织对公司质量、环境、职业健康安全目标、指标予以分解，并在相关职能层次部门建立分目标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.</w:t>
            </w:r>
          </w:p>
          <w:p>
            <w:pPr>
              <w:spacing w:beforeLines="30" w:afterLines="30" w:line="240" w:lineRule="auto"/>
              <w:ind w:firstLine="420" w:firstLineChars="20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查见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2020.8到2020.12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质量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环境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职业健康安全目标分解考核表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， 具体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内容包括：部门、目标、考核方式、考核结果及完成情况。考核人：涂欠根，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2020.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.2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已完成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。</w:t>
            </w:r>
          </w:p>
          <w:p>
            <w:pPr>
              <w:tabs>
                <w:tab w:val="center" w:pos="4535"/>
                <w:tab w:val="left" w:pos="7128"/>
              </w:tabs>
              <w:adjustRightInd w:val="0"/>
              <w:spacing w:line="240" w:lineRule="auto"/>
              <w:ind w:firstLine="420" w:firstLineChars="200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抽目标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-固废分类处置管理方案：</w:t>
            </w:r>
          </w:p>
          <w:p>
            <w:pPr>
              <w:tabs>
                <w:tab w:val="center" w:pos="4535"/>
                <w:tab w:val="left" w:pos="7128"/>
              </w:tabs>
              <w:adjustRightInd w:val="0"/>
              <w:spacing w:line="240" w:lineRule="auto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1、对全体员工进行关于固体废弃物分类要求的培训；</w:t>
            </w:r>
          </w:p>
          <w:p>
            <w:pPr>
              <w:tabs>
                <w:tab w:val="center" w:pos="4535"/>
                <w:tab w:val="left" w:pos="7128"/>
              </w:tabs>
              <w:adjustRightInd w:val="0"/>
              <w:spacing w:line="240" w:lineRule="auto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2、固体废弃物排放管理规定加强固体废弃物管理。</w:t>
            </w:r>
          </w:p>
          <w:p>
            <w:pPr>
              <w:tabs>
                <w:tab w:val="center" w:pos="4535"/>
                <w:tab w:val="left" w:pos="7128"/>
              </w:tabs>
              <w:adjustRightInd w:val="0"/>
              <w:spacing w:line="240" w:lineRule="auto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3、危险固体废弃物实现分类管理：</w:t>
            </w:r>
          </w:p>
          <w:p>
            <w:pPr>
              <w:tabs>
                <w:tab w:val="center" w:pos="4535"/>
                <w:tab w:val="left" w:pos="7128"/>
              </w:tabs>
              <w:adjustRightInd w:val="0"/>
              <w:spacing w:line="240" w:lineRule="auto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（1）建立一般固体废弃物的分类标准及管理规定；</w:t>
            </w:r>
          </w:p>
          <w:p>
            <w:pPr>
              <w:tabs>
                <w:tab w:val="center" w:pos="4535"/>
                <w:tab w:val="left" w:pos="7128"/>
              </w:tabs>
              <w:adjustRightInd w:val="0"/>
              <w:spacing w:line="240" w:lineRule="auto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（2）不可回收利用的、应及应分类推放、明确标识、到达一定数量后送环卫部门处置或按其指定的方法进行处置；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4、预计费用5千元。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时间要求：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2020.8.10-2021.1，责任人：涂欠根。</w:t>
            </w:r>
          </w:p>
          <w:p>
            <w:pPr>
              <w:spacing w:beforeLines="30" w:afterLines="30" w:line="240" w:lineRule="auto"/>
              <w:ind w:firstLine="420" w:firstLineChars="20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行政部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每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季度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组织一次对目标、指标管理方案进行程度、完成情况的考核，提供安全目标、指标考核记录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。</w:t>
            </w:r>
          </w:p>
          <w:p>
            <w:pPr>
              <w:spacing w:beforeLines="30" w:afterLines="30" w:line="240" w:lineRule="auto"/>
              <w:ind w:firstLine="420" w:firstLineChars="20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经查组织制定的指标和管理方案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达到了阶段性的目标要求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，基本符合要求。</w:t>
            </w:r>
          </w:p>
        </w:tc>
        <w:tc>
          <w:tcPr>
            <w:tcW w:w="1585" w:type="dxa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1809" w:type="dxa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环境因素、危险源的识别、辨识与评价</w:t>
            </w:r>
          </w:p>
        </w:tc>
        <w:tc>
          <w:tcPr>
            <w:tcW w:w="1216" w:type="dxa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EO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：6.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1.2</w:t>
            </w:r>
          </w:p>
        </w:tc>
        <w:tc>
          <w:tcPr>
            <w:tcW w:w="10099" w:type="dxa"/>
            <w:vAlign w:val="center"/>
          </w:tcPr>
          <w:p>
            <w:pPr>
              <w:spacing w:line="240" w:lineRule="auto"/>
              <w:ind w:firstLine="420" w:firstLineChars="20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编制了《环境因素和危险源识别评价与控制程序》、《废弃物控制程序》、《噪声控制程序》、《消防控制程序》等，符合标准要求。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■提供办公区域的《环境因素辨识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与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评价表》，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编号：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JL/QEO-13，内容包括：活动内容、环境因素污染物+状态、时态、状态、环境影响类型、评价分值、等级确认。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参加环境因素辨识和评价人员：涂欠根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彭芬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陈建斌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，时间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2020.11.26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评价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基本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准确，符合标准要求 。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■提供《重要环境因素清单》，其中重要环境因素：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潜在火灾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能源消耗及固废排放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等。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编制：行政人事部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 审核：涂欠根    批准：黄朝阳2020.11.26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■提供办公区域的《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危险源调查表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》，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内容包括：作业场所、作业活动、危害性事件、事故类型、事故后果、风险评价、风险控制等，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评价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基本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准确，符合标准要求。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。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■提供《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重大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危险源清单》，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编号：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JL/QEO-16，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包括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线路绝缘破损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违规操作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、车辆伤害、意外伤害，评价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基本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准确。</w:t>
            </w:r>
          </w:p>
          <w:p>
            <w:pPr>
              <w:spacing w:line="240" w:lineRule="auto"/>
              <w:ind w:firstLine="420" w:firstLineChars="200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企业根据环境因素及危险源的识别情况，在《环境、安全目标及管理方案》、《应急预案》中制定了相应的控制预防措施，目前状态正常，措施有效。</w:t>
            </w:r>
          </w:p>
        </w:tc>
        <w:tc>
          <w:tcPr>
            <w:tcW w:w="1585" w:type="dxa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1809" w:type="dxa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外部提供过程、产品和服务的控制</w:t>
            </w:r>
          </w:p>
        </w:tc>
        <w:tc>
          <w:tcPr>
            <w:tcW w:w="1216" w:type="dxa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Q8.4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0099" w:type="dxa"/>
            <w:vAlign w:val="center"/>
          </w:tcPr>
          <w:p>
            <w:pPr>
              <w:tabs>
                <w:tab w:val="left" w:pos="6597"/>
              </w:tabs>
              <w:spacing w:line="24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■查见《采购控制程序》，规定了采购物资分类、供方评价与管理状况、采购信息、采购产品验证等内容。</w:t>
            </w:r>
          </w:p>
          <w:p>
            <w:pPr>
              <w:tabs>
                <w:tab w:val="left" w:pos="6597"/>
              </w:tabs>
              <w:spacing w:line="240" w:lineRule="auto"/>
              <w:ind w:firstLine="420" w:firstLineChars="20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提供了《供方选择、评价和重新评价准则》，评价内容包含管理体系、质量安全环境要求、交货期、人员、设备、现场、生产能力、资质、价格、服务等，各分项有相应的评分标准。</w:t>
            </w:r>
          </w:p>
          <w:p>
            <w:pPr>
              <w:tabs>
                <w:tab w:val="left" w:pos="6597"/>
              </w:tabs>
              <w:spacing w:line="240" w:lineRule="auto"/>
              <w:ind w:firstLine="420" w:firstLineChars="20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提供了《合格供应商名录》，主要供方包括：</w:t>
            </w:r>
          </w:p>
          <w:tbl>
            <w:tblPr>
              <w:tblStyle w:val="6"/>
              <w:tblpPr w:leftFromText="180" w:rightFromText="180" w:vertAnchor="text" w:horzAnchor="page" w:tblpX="118" w:tblpY="455"/>
              <w:tblOverlap w:val="never"/>
              <w:tblW w:w="9819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289"/>
              <w:gridCol w:w="453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26" w:hRule="atLeast"/>
              </w:trPr>
              <w:tc>
                <w:tcPr>
                  <w:tcW w:w="5289" w:type="dxa"/>
                  <w:vAlign w:val="center"/>
                </w:tcPr>
                <w:p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</w:rPr>
                    <w:t>公司名称</w:t>
                  </w:r>
                </w:p>
              </w:tc>
              <w:tc>
                <w:tcPr>
                  <w:tcW w:w="4530" w:type="dxa"/>
                  <w:vAlign w:val="center"/>
                </w:tcPr>
                <w:p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</w:rPr>
                    <w:t>供应产品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652" w:hRule="exact"/>
              </w:trPr>
              <w:tc>
                <w:tcPr>
                  <w:tcW w:w="5289" w:type="dxa"/>
                  <w:vAlign w:val="center"/>
                </w:tcPr>
                <w:p>
                  <w:pPr>
                    <w:spacing w:line="240" w:lineRule="auto"/>
                    <w:ind w:firstLine="210" w:firstLineChars="100"/>
                    <w:jc w:val="center"/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lang w:eastAsia="zh-CN"/>
                    </w:rPr>
                    <w:t>江西天仙精藏设备有限公司</w:t>
                  </w:r>
                </w:p>
              </w:tc>
              <w:tc>
                <w:tcPr>
                  <w:tcW w:w="4530" w:type="dxa"/>
                  <w:vAlign w:val="center"/>
                </w:tcPr>
                <w:p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aps w:val="0"/>
                      <w:color w:val="auto"/>
                      <w:spacing w:val="0"/>
                      <w:sz w:val="21"/>
                      <w:szCs w:val="21"/>
                      <w:shd w:val="clear" w:color="auto" w:fill="FFFFFF"/>
                    </w:rPr>
                    <w:t>智能型骨灰盒存放架，骨灰盒存放架、福寿架、牌位架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90" w:hRule="exact"/>
              </w:trPr>
              <w:tc>
                <w:tcPr>
                  <w:tcW w:w="5289" w:type="dxa"/>
                  <w:vAlign w:val="center"/>
                </w:tcPr>
                <w:p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lang w:eastAsia="zh-CN"/>
                    </w:rPr>
                    <w:t>江西际海制冷设备有限公司</w:t>
                  </w:r>
                </w:p>
              </w:tc>
              <w:tc>
                <w:tcPr>
                  <w:tcW w:w="4530" w:type="dxa"/>
                  <w:vAlign w:val="center"/>
                </w:tcPr>
                <w:p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lang w:eastAsia="zh-CN"/>
                    </w:rPr>
                    <w:t>殡葬设备</w:t>
                  </w:r>
                </w:p>
              </w:tc>
            </w:tr>
          </w:tbl>
          <w:p>
            <w:pPr>
              <w:tabs>
                <w:tab w:val="left" w:pos="6597"/>
              </w:tabs>
              <w:spacing w:line="24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tabs>
                <w:tab w:val="left" w:pos="6597"/>
              </w:tabs>
              <w:spacing w:line="24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■查见《供方调查评价表》，有供方名称、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供方联系人及联系方式、地址、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评价项目及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供方对擦后您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/服务质量的承诺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、评价结果等内容，评价项目主要有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工商注册文件及相关资质证明、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生产设备、生产场地、技术能力、通信条件、长期可靠、信誉等，对以上供方进行了调查评价，评价结果合格。评价人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涂欠根、吴根云、杨素雅、王皖津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，批准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黄朝阳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，日期20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21.1.5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。</w:t>
            </w:r>
          </w:p>
          <w:p>
            <w:pPr>
              <w:spacing w:line="240" w:lineRule="auto"/>
              <w:ind w:firstLine="308" w:firstLineChars="147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企业在对供方进行选择和评价时，收集了企业的相关产品的说明书、检验报告、合格证等，对于供方的相关资质，应保持更新，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但对供方评价应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充分考虑环境及职业健康安全方面的要求，与负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责人进行了沟通。</w:t>
            </w:r>
          </w:p>
          <w:p>
            <w:pPr>
              <w:tabs>
                <w:tab w:val="left" w:pos="6597"/>
              </w:tabs>
              <w:spacing w:line="240" w:lineRule="auto"/>
              <w:ind w:firstLine="420" w:firstLineChars="20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采购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经理介绍，各部门根据需要提报采购申请，经批准后由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采购部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组织实施采购。在实施采购前公司与供方进行沟通后编制采购文件，注明名称、型号、数量、要求、交付期等内容，形成采购合同。</w:t>
            </w:r>
          </w:p>
          <w:p>
            <w:pPr>
              <w:tabs>
                <w:tab w:val="left" w:pos="6597"/>
              </w:tabs>
              <w:spacing w:line="24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■查见20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12.3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购销合同，供方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江西际海制冷设备有限公司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，</w:t>
            </w:r>
          </w:p>
          <w:p>
            <w:pPr>
              <w:tabs>
                <w:tab w:val="left" w:pos="6597"/>
              </w:tabs>
              <w:spacing w:line="240" w:lineRule="auto"/>
              <w:ind w:firstLine="420" w:firstLineChars="20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采购产品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太平柜、瞻仰台、解剖台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**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个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，单价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**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运输方式及到达港费用负担，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交货地点买方仓库，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货到付款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，另外有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验收标准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方法及提出异议期限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、质量要求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、解决争议方式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等要求，合同有效期至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货到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15天内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，双方签字盖章。</w:t>
            </w:r>
          </w:p>
          <w:p>
            <w:pPr>
              <w:tabs>
                <w:tab w:val="left" w:pos="6597"/>
              </w:tabs>
              <w:spacing w:line="24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■查见20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10.5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日购销合同，供方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江西天仙精藏设备有限公司</w:t>
            </w:r>
          </w:p>
          <w:p>
            <w:pPr>
              <w:tabs>
                <w:tab w:val="left" w:pos="6597"/>
              </w:tabs>
              <w:spacing w:line="240" w:lineRule="auto"/>
              <w:ind w:firstLine="420" w:firstLineChars="20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采购产品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智能型骨灰盒存放架、福寿架、牌位架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**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个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，单价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**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包括交付时间、方式、地点，付款方式、期限，货物质量和验收，保证条款，合同变更及解除等要求，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双方签字盖章。</w:t>
            </w:r>
          </w:p>
          <w:p>
            <w:pPr>
              <w:tabs>
                <w:tab w:val="left" w:pos="6597"/>
              </w:tabs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■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另外再抽查几份购销合同，情况基本同上。</w:t>
            </w:r>
          </w:p>
          <w:p>
            <w:pPr>
              <w:spacing w:beforeLines="30" w:afterLines="30" w:line="240" w:lineRule="auto"/>
              <w:ind w:firstLine="420" w:firstLineChars="20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采购产品验证通常采取查验产品外观、数量的方式。</w:t>
            </w:r>
          </w:p>
          <w:p>
            <w:pPr>
              <w:spacing w:beforeLines="30" w:afterLines="30" w:line="240" w:lineRule="auto"/>
              <w:ind w:firstLine="420" w:firstLineChars="200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经查组织按照要求在签订合同前进行了合同评审，符合要求。</w:t>
            </w:r>
          </w:p>
        </w:tc>
        <w:tc>
          <w:tcPr>
            <w:tcW w:w="1585" w:type="dxa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1809" w:type="dxa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运行策划和控制</w:t>
            </w:r>
          </w:p>
        </w:tc>
        <w:tc>
          <w:tcPr>
            <w:tcW w:w="1216" w:type="dxa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EO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8.1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 xml:space="preserve"> </w:t>
            </w:r>
          </w:p>
        </w:tc>
        <w:tc>
          <w:tcPr>
            <w:tcW w:w="10099" w:type="dxa"/>
            <w:vAlign w:val="center"/>
          </w:tcPr>
          <w:p>
            <w:pPr>
              <w:spacing w:line="240" w:lineRule="auto"/>
              <w:ind w:firstLine="420" w:firstLineChars="20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本部门应执行的运行控制文件包括：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环境、职业健康安全运行控制程序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》、《消防控制程序》及《废弃物控制程序》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等。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■查运行控制情况：</w:t>
            </w:r>
          </w:p>
          <w:p>
            <w:pPr>
              <w:spacing w:line="240" w:lineRule="auto"/>
              <w:ind w:firstLine="420" w:firstLineChars="20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办公过程注意节约用电，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采购部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做到人走灯灭，电脑长时间不用时关机，下班前要关闭电源；</w:t>
            </w:r>
          </w:p>
          <w:p>
            <w:pPr>
              <w:spacing w:line="240" w:lineRule="auto"/>
              <w:ind w:firstLine="420" w:firstLineChars="20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办公过程产生的固废按办公室要求放到指定地点，远程查看无混放现象；办公用品按要求由办公室负责发放，作好记录； </w:t>
            </w:r>
          </w:p>
          <w:p>
            <w:pPr>
              <w:spacing w:line="240" w:lineRule="auto"/>
              <w:ind w:firstLine="420" w:firstLineChars="20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工作时间平均每天不超过8小时，公司为员工办理了意外伤害等保险；</w:t>
            </w:r>
          </w:p>
          <w:p>
            <w:pPr>
              <w:spacing w:line="240" w:lineRule="auto"/>
              <w:ind w:firstLine="420" w:firstLineChars="20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外出办公要求遵守道路交通安全法，不违章行驶，驾驶证和车辆定期年审，确保出行安全；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■废水：主要为日常生活污水水，排入集水池，经SBR反应器后再经过二沉池，最后进入场内化粪池后外排市政污水管网。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■提供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《环境安全运行检查记录》。包括检查日期、检查项目、检查内容、检查结果、存在问题、整改措施。检查人：彭芬。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检查项目包括：噪声排放、固废管理、能源消耗、消防安全及其他。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消防安全检查内容包括：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灭火器气压是否正常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灭火器是否在保质期内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消防栓有无破损、异常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消防设施是否定期进行点检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安全通道有无堵塞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区域配电箱漏电保护装置是否处于正常状态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各部门电气线路安装是否规范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是否按规定进行了应急演练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等。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每月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检查一次，下半年检查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已完成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，全部正常使用，无异常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。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■远程查看办公室设备、电器状态良好，配置了灭火器，无火灾、触电隐患，废弃物无混放现象。</w:t>
            </w:r>
          </w:p>
          <w:p>
            <w:pPr>
              <w:spacing w:beforeLines="30" w:afterLines="30" w:line="240" w:lineRule="auto"/>
              <w:ind w:firstLine="420" w:firstLineChars="20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经查基本符合安环的运行控制要求。</w:t>
            </w:r>
          </w:p>
        </w:tc>
        <w:tc>
          <w:tcPr>
            <w:tcW w:w="1585" w:type="dxa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0" w:hRule="atLeast"/>
        </w:trPr>
        <w:tc>
          <w:tcPr>
            <w:tcW w:w="1809" w:type="dxa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应急准备和响应</w:t>
            </w:r>
          </w:p>
        </w:tc>
        <w:tc>
          <w:tcPr>
            <w:tcW w:w="1216" w:type="dxa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EO：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8.2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  </w:t>
            </w:r>
          </w:p>
        </w:tc>
        <w:tc>
          <w:tcPr>
            <w:tcW w:w="10099" w:type="dxa"/>
            <w:vAlign w:val="center"/>
          </w:tcPr>
          <w:p>
            <w:pPr>
              <w:spacing w:line="240" w:lineRule="auto"/>
              <w:ind w:firstLine="420" w:firstLineChars="20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编制《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zh-CN"/>
              </w:rPr>
              <w:t>应急准备和响应控制程序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》，识别的紧急情况为火灾、触电、机械伤害等，确定了应急准备和响应步骤、方法及控制要求。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■查2020年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23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日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火灾应急救援演练记录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包括目的、内容、时间安排、演练准备、模拟设立火场、火灾预案演练、演练总结、下步工作。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演习内容：车间或仓库发生火灾。灭火洒水通道畅通、灭火器材使用方法、火灾逃生和救援方法、内外部联络渠道等，通过演练，掌握了相应的安全救援措施、灭火器材的使用方法等，应急预案切实可行。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记录：彭芬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审批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黄朝阳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  时间：2020.12.23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。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■查2020年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日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《触电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应急演习记录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，总指挥：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管代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，参加部门：行政部、销售部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、采购部等全体员工。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演练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内容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正在进行作业的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车间人员发生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发生意外触电，目前已休克昏迷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。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演练过程：断电救人、报急救电话将伤者送往医院、现场保护、维持秩序、事故调查、总结整改。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提供演练计划及演习记录，主要包括演习目的、演习过程及小结，通过演习认为基本达到目的，大家掌握了方法。批准人：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黄朝阳。</w:t>
            </w:r>
          </w:p>
          <w:p>
            <w:pPr>
              <w:spacing w:beforeLines="30" w:afterLines="30" w:line="240" w:lineRule="auto"/>
              <w:ind w:firstLine="420" w:firstLineChars="20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经查组织的应急响应方案及措施有效，基本符合要求。</w:t>
            </w:r>
          </w:p>
        </w:tc>
        <w:tc>
          <w:tcPr>
            <w:tcW w:w="1585" w:type="dxa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Y</w:t>
            </w:r>
          </w:p>
        </w:tc>
      </w:tr>
    </w:tbl>
    <w:p>
      <w:r>
        <w:ptab w:relativeTo="margin" w:alignment="center" w:leader="none"/>
      </w:r>
    </w:p>
    <w:p>
      <w:pPr>
        <w:pStyle w:val="5"/>
      </w:pPr>
      <w:r>
        <w:rPr>
          <w:rFonts w:hint="eastAsia"/>
        </w:rPr>
        <w:t>说明：不符合标注N</w:t>
      </w:r>
    </w:p>
    <w:p/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2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1025" o:spid="_x0000_s1025" o:spt="202" type="#_x0000_t202" style="position:absolute;left:0pt;margin-left:554.75pt;margin-top:2.2pt;height:20.2pt;width:17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-31管理体系审核记录表(03版)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01BF35"/>
    <w:multiLevelType w:val="singleLevel"/>
    <w:tmpl w:val="0D01BF3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063E4"/>
    <w:rsid w:val="00187A58"/>
    <w:rsid w:val="002515E2"/>
    <w:rsid w:val="002A5A9C"/>
    <w:rsid w:val="00370420"/>
    <w:rsid w:val="005E5015"/>
    <w:rsid w:val="006351C6"/>
    <w:rsid w:val="006642E9"/>
    <w:rsid w:val="00730281"/>
    <w:rsid w:val="008B0A22"/>
    <w:rsid w:val="009D10D6"/>
    <w:rsid w:val="00A07AA2"/>
    <w:rsid w:val="00CE417D"/>
    <w:rsid w:val="00D063E4"/>
    <w:rsid w:val="00D6273F"/>
    <w:rsid w:val="00D65AC3"/>
    <w:rsid w:val="00D7203A"/>
    <w:rsid w:val="00F8010E"/>
    <w:rsid w:val="017122D3"/>
    <w:rsid w:val="022C4520"/>
    <w:rsid w:val="046F6415"/>
    <w:rsid w:val="057F5AE6"/>
    <w:rsid w:val="07E54446"/>
    <w:rsid w:val="099E0A76"/>
    <w:rsid w:val="0CA200DE"/>
    <w:rsid w:val="0CF15809"/>
    <w:rsid w:val="0D24739D"/>
    <w:rsid w:val="0EA97A20"/>
    <w:rsid w:val="0EBF705B"/>
    <w:rsid w:val="11803C21"/>
    <w:rsid w:val="13406F64"/>
    <w:rsid w:val="15466544"/>
    <w:rsid w:val="166455C1"/>
    <w:rsid w:val="16A551BB"/>
    <w:rsid w:val="1793299F"/>
    <w:rsid w:val="17C82FA3"/>
    <w:rsid w:val="18940A42"/>
    <w:rsid w:val="1A486981"/>
    <w:rsid w:val="1A7757E1"/>
    <w:rsid w:val="1AA87B70"/>
    <w:rsid w:val="1B6908B0"/>
    <w:rsid w:val="1BA6597A"/>
    <w:rsid w:val="214143B0"/>
    <w:rsid w:val="21680C5B"/>
    <w:rsid w:val="2C036FD4"/>
    <w:rsid w:val="2D326A76"/>
    <w:rsid w:val="2D450D74"/>
    <w:rsid w:val="2ED9501B"/>
    <w:rsid w:val="36E049D6"/>
    <w:rsid w:val="38C954B9"/>
    <w:rsid w:val="3D3933D8"/>
    <w:rsid w:val="405D4710"/>
    <w:rsid w:val="40AA5DAD"/>
    <w:rsid w:val="456F2005"/>
    <w:rsid w:val="466F1E68"/>
    <w:rsid w:val="497549C5"/>
    <w:rsid w:val="49A150E0"/>
    <w:rsid w:val="4A8212CB"/>
    <w:rsid w:val="4DC05112"/>
    <w:rsid w:val="4F8F4D02"/>
    <w:rsid w:val="4FB04420"/>
    <w:rsid w:val="4FF41FA9"/>
    <w:rsid w:val="508157FB"/>
    <w:rsid w:val="51FC0A8A"/>
    <w:rsid w:val="55334D85"/>
    <w:rsid w:val="57417F82"/>
    <w:rsid w:val="57FD610B"/>
    <w:rsid w:val="5B1E1012"/>
    <w:rsid w:val="5C1104EA"/>
    <w:rsid w:val="5CA00BBE"/>
    <w:rsid w:val="5CB21F98"/>
    <w:rsid w:val="6493707C"/>
    <w:rsid w:val="65D13C99"/>
    <w:rsid w:val="66EF2F5B"/>
    <w:rsid w:val="68E53BC9"/>
    <w:rsid w:val="6A5B3551"/>
    <w:rsid w:val="6A9973F4"/>
    <w:rsid w:val="6DDF29AF"/>
    <w:rsid w:val="6F1959C2"/>
    <w:rsid w:val="6F2A5E7C"/>
    <w:rsid w:val="6FC21137"/>
    <w:rsid w:val="772E16D5"/>
    <w:rsid w:val="775A1DC7"/>
    <w:rsid w:val="795252E8"/>
    <w:rsid w:val="7A170AB4"/>
    <w:rsid w:val="7B1F225C"/>
    <w:rsid w:val="7C683E7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next w:val="3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8">
    <w:name w:val="页眉 Char"/>
    <w:basedOn w:val="7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1087</Words>
  <Characters>6202</Characters>
  <Lines>51</Lines>
  <Paragraphs>14</Paragraphs>
  <TotalTime>0</TotalTime>
  <ScaleCrop>false</ScaleCrop>
  <LinksUpToDate>false</LinksUpToDate>
  <CharactersWithSpaces>7275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Administrator</cp:lastModifiedBy>
  <dcterms:modified xsi:type="dcterms:W3CDTF">2021-01-09T12:21:56Z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