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20"/>
        <w:gridCol w:w="1385"/>
        <w:gridCol w:w="1290"/>
        <w:gridCol w:w="1100"/>
        <w:gridCol w:w="1462"/>
        <w:gridCol w:w="20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4920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四川科度实业有限公司</w:t>
            </w:r>
            <w:bookmarkEnd w:id="4"/>
          </w:p>
        </w:tc>
        <w:tc>
          <w:tcPr>
            <w:tcW w:w="1462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042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Q：34.01.02;34.06.00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E：34.01.02;34.06.00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O：34.01.02;34.06.00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1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Q:34.01.02,34.06.00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E:34.01.02,34.06.00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O:34.01.02,34.06.00</w:t>
            </w:r>
          </w:p>
        </w:tc>
        <w:tc>
          <w:tcPr>
            <w:tcW w:w="14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04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余家龙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李林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  <w:tc>
          <w:tcPr>
            <w:tcW w:w="11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</w:tc>
        <w:tc>
          <w:tcPr>
            <w:tcW w:w="146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204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Q:34.06.00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E:34.06.00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Q:34.06.00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E:34.06.00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1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46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204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合同签订→收集资料→现场测绘→编制、绘图→编制项目报告（文本、图件）→变更（需要时）→交付客户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测绘的服务过程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潜在火灾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固废的排放</w:t>
            </w:r>
            <w:r>
              <w:rPr>
                <w:rFonts w:hint="eastAsia"/>
                <w:b/>
                <w:sz w:val="20"/>
                <w:lang w:eastAsia="zh-CN"/>
              </w:rPr>
              <w:t>、废气排放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火灾、触电、交通事故、意外伤害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中华人民共和国合同法、中华人民共和国产品质量法、中华人民共和国消费者权益法、中华人民共和国环境保护法</w:t>
            </w:r>
            <w:r>
              <w:rPr>
                <w:rFonts w:hint="eastAsia"/>
                <w:b/>
                <w:sz w:val="20"/>
                <w:lang w:eastAsia="zh-CN"/>
              </w:rPr>
              <w:t>、中华人民共和国安全生产法、中华人民共和国环境影响评价法、中华人民共和国消防法、中华人民共和国职业病防治法、生产项目土地复垦验收规程、土地利用动态遥感监测规程、土地整治权属调整规范、土地整治项目基础调查规范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  <w:r>
              <w:rPr>
                <w:rFonts w:hint="eastAsia"/>
                <w:b/>
                <w:sz w:val="20"/>
              </w:rPr>
              <w:t>型式检验和试验项目及要求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4663440</wp:posOffset>
            </wp:positionH>
            <wp:positionV relativeFrom="paragraph">
              <wp:posOffset>118110</wp:posOffset>
            </wp:positionV>
            <wp:extent cx="323850" cy="335280"/>
            <wp:effectExtent l="0" t="0" r="0" b="7620"/>
            <wp:wrapNone/>
            <wp:docPr id="1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1288415</wp:posOffset>
            </wp:positionH>
            <wp:positionV relativeFrom="paragraph">
              <wp:posOffset>116205</wp:posOffset>
            </wp:positionV>
            <wp:extent cx="323850" cy="335280"/>
            <wp:effectExtent l="0" t="0" r="0" b="7620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2020.12.28</w:t>
      </w:r>
      <w:r>
        <w:rPr>
          <w:rFonts w:hint="eastAsia"/>
          <w:b/>
          <w:sz w:val="18"/>
          <w:szCs w:val="18"/>
        </w:rPr>
        <w:t xml:space="preserve">  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2020.12.28</w:t>
      </w:r>
      <w:r>
        <w:rPr>
          <w:rFonts w:hint="eastAsia"/>
          <w:b/>
          <w:sz w:val="18"/>
          <w:szCs w:val="18"/>
        </w:rPr>
        <w:t xml:space="preserve"> 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27B0343"/>
    <w:rsid w:val="03BF0CF7"/>
    <w:rsid w:val="0D7745D9"/>
    <w:rsid w:val="10EE21D5"/>
    <w:rsid w:val="116B2B1E"/>
    <w:rsid w:val="15E077EF"/>
    <w:rsid w:val="18943BC7"/>
    <w:rsid w:val="19723197"/>
    <w:rsid w:val="1CA14C10"/>
    <w:rsid w:val="1CC1771A"/>
    <w:rsid w:val="1D581164"/>
    <w:rsid w:val="263D30F8"/>
    <w:rsid w:val="27231C5C"/>
    <w:rsid w:val="27683253"/>
    <w:rsid w:val="28247C93"/>
    <w:rsid w:val="28B44F04"/>
    <w:rsid w:val="2AD371E1"/>
    <w:rsid w:val="34386890"/>
    <w:rsid w:val="35ED1273"/>
    <w:rsid w:val="3C135273"/>
    <w:rsid w:val="42425794"/>
    <w:rsid w:val="51652B87"/>
    <w:rsid w:val="5A335DB8"/>
    <w:rsid w:val="5B026872"/>
    <w:rsid w:val="5BC0646C"/>
    <w:rsid w:val="5EB87384"/>
    <w:rsid w:val="5F663AB0"/>
    <w:rsid w:val="61E63BF9"/>
    <w:rsid w:val="67750500"/>
    <w:rsid w:val="6C535072"/>
    <w:rsid w:val="6D291D1E"/>
    <w:rsid w:val="6F0C3AF0"/>
    <w:rsid w:val="703927CD"/>
    <w:rsid w:val="71AB3775"/>
    <w:rsid w:val="72A04BF7"/>
    <w:rsid w:val="7442387C"/>
    <w:rsid w:val="7C9C3A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2021-01-07T16:56:20Z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