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91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江苏恩华药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29日 下午至2020年12月30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02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1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12-30T12:52:2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