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0"/>
            <w:r>
              <w:rPr>
                <w:b/>
                <w:color w:val="auto"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"/>
            <w:r>
              <w:rPr>
                <w:rFonts w:hint="eastAsia"/>
                <w:b/>
                <w:color w:val="auto"/>
                <w:szCs w:val="21"/>
              </w:rPr>
              <w:t>5</w:t>
            </w:r>
            <w:r>
              <w:rPr>
                <w:b/>
                <w:color w:val="auto"/>
                <w:szCs w:val="21"/>
              </w:rPr>
              <w:t>0430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 </w:t>
            </w:r>
            <w:r>
              <w:rPr>
                <w:b/>
                <w:color w:val="auto"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2"/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 </w:t>
            </w:r>
            <w:r>
              <w:rPr>
                <w:b/>
                <w:color w:val="auto"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3"/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color w:val="auto"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bookmarkStart w:id="6" w:name="组织名称"/>
            <w:r>
              <w:rPr>
                <w:rFonts w:ascii="方正仿宋简体" w:eastAsia="方正仿宋简体"/>
                <w:b/>
                <w:color w:val="auto"/>
              </w:rPr>
              <w:t>四川傲永科技有限责任公司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行政部</w:t>
            </w:r>
            <w:bookmarkStart w:id="7" w:name="_GoBack"/>
            <w:bookmarkEnd w:id="7"/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柴春伟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查见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月有合规性评价记录，未提供合规性评价结论及报告。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ES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9.1.2条款。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□ GB/T 28001-2011 idt OHSAS 18001:2007标准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E66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2020-12-30T05:12:35Z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