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br w:type="page"/>
      </w: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2019-N1QMS-3093566</w:t>
            </w:r>
          </w:p>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728" w:type="dxa"/>
            <w:gridSpan w:val="2"/>
            <w:vAlign w:val="center"/>
          </w:tcPr>
          <w:p>
            <w:pPr>
              <w:jc w:val="center"/>
              <w:rPr>
                <w:b/>
                <w:sz w:val="21"/>
                <w:szCs w:val="21"/>
              </w:rPr>
            </w:pPr>
            <w:r>
              <w:rPr>
                <w:b/>
                <w:sz w:val="21"/>
                <w:szCs w:val="21"/>
              </w:rPr>
              <w:t>Q:34.01.02</w:t>
            </w:r>
          </w:p>
          <w:p>
            <w:pPr>
              <w:jc w:val="center"/>
              <w:rPr>
                <w:b/>
                <w:sz w:val="21"/>
                <w:szCs w:val="21"/>
              </w:rPr>
            </w:pPr>
            <w:r>
              <w:rPr>
                <w:b/>
                <w:sz w:val="21"/>
                <w:szCs w:val="21"/>
              </w:rPr>
              <w:t>E:34.01.02</w:t>
            </w:r>
          </w:p>
          <w:p>
            <w:pPr>
              <w:jc w:val="center"/>
              <w:rPr>
                <w:b/>
                <w:sz w:val="21"/>
                <w:szCs w:val="21"/>
              </w:rPr>
            </w:pPr>
            <w:r>
              <w:rPr>
                <w:b/>
                <w:sz w:val="21"/>
                <w:szCs w:val="21"/>
              </w:rPr>
              <w:t>O:34.01.02</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2020-N1QMS-1262293</w:t>
            </w:r>
          </w:p>
          <w:p>
            <w:pPr>
              <w:jc w:val="center"/>
              <w:rPr>
                <w:b/>
                <w:sz w:val="21"/>
                <w:szCs w:val="21"/>
              </w:rPr>
            </w:pPr>
            <w:r>
              <w:rPr>
                <w:b/>
                <w:sz w:val="21"/>
                <w:szCs w:val="21"/>
              </w:rPr>
              <w:t>2020-N1EMS-1262293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ascii="宋体" w:hAnsi="宋体" w:eastAsia="宋体" w:cs="宋体"/>
          <w:b/>
          <w:sz w:val="21"/>
          <w:szCs w:val="21"/>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rFonts w:hint="eastAsia"/>
          <w:b/>
          <w:sz w:val="21"/>
          <w:szCs w:val="21"/>
        </w:rPr>
      </w:pPr>
      <w:bookmarkStart w:id="7" w:name="E勾选Add"/>
    </w:p>
    <w:p>
      <w:pPr>
        <w:tabs>
          <w:tab w:val="left" w:pos="645"/>
        </w:tabs>
        <w:rPr>
          <w:rFonts w:hint="eastAsia"/>
          <w:b/>
          <w:sz w:val="21"/>
          <w:szCs w:val="21"/>
        </w:rPr>
      </w:pPr>
    </w:p>
    <w:p>
      <w:pPr>
        <w:tabs>
          <w:tab w:val="left" w:pos="645"/>
        </w:tabs>
        <w:rPr>
          <w:b/>
          <w:sz w:val="21"/>
          <w:szCs w:val="21"/>
        </w:rPr>
      </w:pPr>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四川傲永科技有限责任公司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中国(四川）自由贸易试验区成都高新区府城大道西段399号5栋1单元14层1号</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610500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成都高新区益州大道366号英祥财富领域2栋16层1608号及1609号（近宜家家居）</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610500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成都高新区益州大道366号英祥财富领域2栋16层1608号及1609号（近宜家家居）</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610500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魏中意</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13678170221</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魏中意</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马瑞丽</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2020年12月30日 上午至2020年12月30日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sz w:val="20"/>
              </w:rPr>
              <w:t>资质范围内的城镇燃气工程设计</w:t>
            </w:r>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sz w:val="20"/>
              </w:rPr>
              <w:t>资质范围内的城镇燃气工程设计所涉及的相关环境管理活动</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sz w:val="20"/>
              </w:rPr>
              <w:t>资质范围内的城镇燃气工程设计所涉及的相关职业健康安全管理活动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Q：34.01.02</w:t>
            </w:r>
          </w:p>
          <w:p>
            <w:pPr>
              <w:spacing w:line="260" w:lineRule="exact"/>
              <w:rPr>
                <w:rFonts w:ascii="宋体" w:hAnsi="宋体"/>
                <w:b/>
                <w:sz w:val="21"/>
                <w:szCs w:val="21"/>
              </w:rPr>
            </w:pPr>
            <w:r>
              <w:rPr>
                <w:rFonts w:ascii="宋体" w:hAnsi="宋体"/>
                <w:b/>
                <w:sz w:val="21"/>
                <w:szCs w:val="21"/>
              </w:rPr>
              <w:t>E：34.01.02</w:t>
            </w:r>
          </w:p>
          <w:p>
            <w:pPr>
              <w:spacing w:line="260" w:lineRule="exact"/>
              <w:rPr>
                <w:rFonts w:ascii="宋体" w:hAnsi="宋体"/>
                <w:b/>
                <w:sz w:val="21"/>
                <w:szCs w:val="21"/>
              </w:rPr>
            </w:pPr>
            <w:r>
              <w:rPr>
                <w:rFonts w:ascii="宋体" w:hAnsi="宋体"/>
                <w:b/>
                <w:sz w:val="21"/>
                <w:szCs w:val="21"/>
              </w:rPr>
              <w:t>O：34.01.02</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2022.12.22</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2019.11.1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29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ind w:firstLine="420" w:firstLineChars="200"/>
              <w:rPr>
                <w:rFonts w:ascii="Times New Roman"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组织对内外部因素、相关方需求和期望进行了充分的识别，策划和实施有效。组织确定了体系的边界，基本适用。管理体系条款无不适用条款</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ind w:firstLine="420" w:firstLineChars="20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1"/>
                <w:szCs w:val="21"/>
              </w:rPr>
            </w:pPr>
            <w:r>
              <w:rPr>
                <w:b/>
                <w:color w:val="000000" w:themeColor="text1"/>
                <w:sz w:val="21"/>
                <w:szCs w:val="21"/>
              </w:rPr>
              <w:t>3.</w:t>
            </w:r>
            <w:r>
              <w:rPr>
                <w:rFonts w:hint="eastAsia"/>
                <w:b/>
                <w:color w:val="000000" w:themeColor="text1"/>
                <w:sz w:val="21"/>
                <w:szCs w:val="21"/>
              </w:rPr>
              <w:t>■</w:t>
            </w:r>
            <w:r>
              <w:rPr>
                <w:rFonts w:hint="eastAsia" w:ascii="宋体" w:hAnsi="宋体"/>
                <w:b/>
                <w:color w:val="000000" w:themeColor="text1"/>
                <w:sz w:val="21"/>
                <w:szCs w:val="21"/>
              </w:rPr>
              <w:t>质量/■环境/■职业健康安全方针（组织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spacing w:line="276" w:lineRule="auto"/>
              <w:rPr>
                <w:rFonts w:ascii="宋体" w:hAnsi="宋体"/>
                <w:color w:val="000000" w:themeColor="text1"/>
                <w:sz w:val="21"/>
                <w:szCs w:val="21"/>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276" w:lineRule="auto"/>
              <w:rPr>
                <w:rFonts w:ascii="宋体" w:hAnsi="宋体" w:cs="宋体"/>
                <w:sz w:val="21"/>
                <w:szCs w:val="21"/>
              </w:rPr>
            </w:pPr>
            <w:r>
              <w:rPr>
                <w:rFonts w:hint="eastAsia" w:ascii="宋体" w:hAnsi="宋体" w:cs="宋体"/>
                <w:sz w:val="21"/>
                <w:szCs w:val="21"/>
              </w:rPr>
              <w:t>质量、环境和职业健康安全方针：</w:t>
            </w:r>
          </w:p>
          <w:p>
            <w:pPr>
              <w:spacing w:line="276" w:lineRule="auto"/>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科技领先  </w:t>
            </w:r>
            <w:r>
              <w:rPr>
                <w:rFonts w:hint="eastAsia" w:ascii="宋体" w:hAnsi="宋体" w:cs="宋体"/>
                <w:sz w:val="21"/>
                <w:szCs w:val="21"/>
                <w:lang w:val="en-US" w:eastAsia="zh-CN"/>
              </w:rPr>
              <w:t xml:space="preserve"> </w:t>
            </w:r>
            <w:r>
              <w:rPr>
                <w:rFonts w:hint="eastAsia" w:ascii="宋体" w:hAnsi="宋体" w:cs="宋体"/>
                <w:sz w:val="21"/>
                <w:szCs w:val="21"/>
              </w:rPr>
              <w:t xml:space="preserve">  铸就品牌</w:t>
            </w:r>
          </w:p>
          <w:p>
            <w:pPr>
              <w:spacing w:line="276" w:lineRule="auto"/>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遵守法规     保障健康安全</w:t>
            </w:r>
          </w:p>
          <w:p>
            <w:pPr>
              <w:spacing w:line="276" w:lineRule="auto"/>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预防污染     保护生态环境</w:t>
            </w:r>
          </w:p>
          <w:p>
            <w:pPr>
              <w:spacing w:line="276" w:lineRule="auto"/>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sz w:val="21"/>
                <w:szCs w:val="21"/>
              </w:rPr>
              <w:tab/>
            </w:r>
            <w:r>
              <w:rPr>
                <w:rFonts w:hint="eastAsia" w:ascii="宋体" w:hAnsi="宋体" w:cs="宋体"/>
                <w:sz w:val="21"/>
                <w:szCs w:val="21"/>
              </w:rPr>
              <w:t>持续改进     确保顾客满意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40" w:lineRule="exact"/>
              <w:ind w:firstLine="630" w:firstLineChars="300"/>
              <w:rPr>
                <w:rFonts w:ascii="宋体" w:hAnsi="宋体" w:eastAsia="宋体" w:cs="Times New Roman"/>
                <w:color w:val="000000" w:themeColor="text1"/>
                <w:kern w:val="2"/>
                <w:sz w:val="21"/>
                <w:szCs w:val="21"/>
                <w:lang w:val="en-US" w:eastAsia="zh-CN" w:bidi="ar-SA"/>
              </w:rPr>
            </w:pPr>
            <w:r>
              <w:rPr>
                <w:rFonts w:hint="eastAsia" w:ascii="宋体" w:hAnsi="宋体"/>
                <w:color w:val="000000" w:themeColor="text1"/>
                <w:sz w:val="21"/>
                <w:szCs w:val="21"/>
              </w:rPr>
              <w:t>制定并实施了相关程序和安全管理制度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质量管理体系过程有：合同评审、设计过程。</w:t>
            </w:r>
          </w:p>
          <w:p>
            <w:pPr>
              <w:tabs>
                <w:tab w:val="left" w:pos="540"/>
              </w:tabs>
              <w:spacing w:line="300" w:lineRule="exact"/>
              <w:ind w:left="201" w:hanging="201" w:hangingChars="100"/>
              <w:rPr>
                <w:rFonts w:ascii="宋体" w:hAnsi="宋体"/>
                <w:b/>
                <w:sz w:val="20"/>
                <w:szCs w:val="20"/>
                <w:u w:val="single"/>
              </w:rPr>
            </w:pPr>
            <w:r>
              <w:rPr>
                <w:rFonts w:hint="eastAsia" w:ascii="宋体" w:hAnsi="宋体"/>
                <w:b/>
                <w:sz w:val="20"/>
                <w:szCs w:val="20"/>
              </w:rPr>
              <w:t>其中关键过程有：设计过程。</w:t>
            </w:r>
          </w:p>
          <w:p>
            <w:pPr>
              <w:tabs>
                <w:tab w:val="left" w:pos="540"/>
              </w:tabs>
              <w:spacing w:line="300" w:lineRule="exact"/>
              <w:ind w:left="201" w:hanging="201" w:hangingChars="100"/>
              <w:rPr>
                <w:rFonts w:ascii="宋体" w:hAnsi="宋体"/>
                <w:b/>
                <w:sz w:val="20"/>
                <w:szCs w:val="20"/>
                <w:u w:val="single"/>
              </w:rPr>
            </w:pPr>
            <w:r>
              <w:rPr>
                <w:rFonts w:hint="eastAsia" w:ascii="宋体" w:hAnsi="宋体"/>
                <w:b/>
                <w:sz w:val="20"/>
                <w:szCs w:val="20"/>
              </w:rPr>
              <w:t xml:space="preserve">需要确认过程：设计过程。 </w:t>
            </w:r>
          </w:p>
          <w:p>
            <w:pPr>
              <w:spacing w:line="360" w:lineRule="auto"/>
              <w:rPr>
                <w:rFonts w:ascii="宋体" w:hAnsi="宋体" w:eastAsia="宋体" w:cs="Times New Roman"/>
                <w:b/>
                <w:color w:val="000000" w:themeColor="text1"/>
                <w:kern w:val="2"/>
                <w:sz w:val="24"/>
                <w:szCs w:val="21"/>
                <w:lang w:val="en-US" w:eastAsia="zh-CN" w:bidi="ar-SA"/>
              </w:rPr>
            </w:pPr>
            <w:r>
              <w:rPr>
                <w:rFonts w:ascii="宋体" w:hAnsi="宋体"/>
                <w:b/>
                <w:color w:val="000000" w:themeColor="text1"/>
                <w:sz w:val="20"/>
                <w:szCs w:val="20"/>
              </w:rPr>
              <w:pict>
                <v:shape id="_x0000_s2054" o:spid="_x0000_s2054" o:spt="32" type="#_x0000_t32" style="position:absolute;left:0pt;margin-left:55.15pt;margin-top:21.2pt;height:0pt;width:42pt;z-index:2516858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无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ind w:firstLine="315" w:firstLineChars="150"/>
              <w:rPr>
                <w:rFonts w:cs="Times New Roman" w:asciiTheme="minorEastAsia" w:hAnsiTheme="minorEastAsia" w:eastAsiaTheme="minorEastAsia"/>
                <w:b/>
                <w:color w:val="000000" w:themeColor="text1"/>
                <w:kern w:val="2"/>
                <w:sz w:val="21"/>
                <w:szCs w:val="21"/>
                <w:lang w:val="en-US" w:eastAsia="zh-CN" w:bidi="ar-SA"/>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00" w:lineRule="exact"/>
              <w:ind w:firstLine="420" w:firstLineChars="200"/>
              <w:rPr>
                <w:rFonts w:ascii="宋体" w:hAnsi="宋体" w:eastAsia="宋体" w:cs="Times New Roman"/>
                <w:b/>
                <w:color w:val="000000" w:themeColor="text1"/>
                <w:spacing w:val="-8"/>
                <w:kern w:val="2"/>
                <w:sz w:val="21"/>
                <w:szCs w:val="21"/>
                <w:lang w:val="en-US" w:eastAsia="zh-CN" w:bidi="ar-SA"/>
              </w:rPr>
            </w:pPr>
            <w:r>
              <w:rPr>
                <w:rFonts w:hint="eastAsia" w:ascii="宋体" w:hAnsi="宋体"/>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pStyle w:val="13"/>
              <w:tabs>
                <w:tab w:val="left" w:pos="540"/>
              </w:tabs>
              <w:spacing w:line="300" w:lineRule="exact"/>
              <w:ind w:firstLine="0" w:firstLineChars="0"/>
              <w:rPr>
                <w:rFonts w:ascii="宋体" w:hAnsi="宋体"/>
                <w:b/>
                <w:color w:val="000000" w:themeColor="text1"/>
                <w:sz w:val="21"/>
                <w:szCs w:val="21"/>
                <w:u w:val="single"/>
              </w:rPr>
            </w:pPr>
            <w:r>
              <w:rPr>
                <w:rFonts w:hint="eastAsia" w:ascii="宋体" w:hAnsi="宋体"/>
                <w:b/>
                <w:color w:val="000000" w:themeColor="text1"/>
                <w:sz w:val="21"/>
                <w:szCs w:val="21"/>
              </w:rPr>
              <w:t>（1）获取法律法规项，■法律法规获取充分，□法律法规获取有遗漏，缺少</w:t>
            </w:r>
          </w:p>
          <w:p>
            <w:pPr>
              <w:pStyle w:val="13"/>
              <w:tabs>
                <w:tab w:val="left" w:pos="540"/>
              </w:tabs>
              <w:spacing w:line="300" w:lineRule="exact"/>
              <w:ind w:firstLine="0" w:firstLineChars="0"/>
              <w:rPr>
                <w:rFonts w:ascii="宋体" w:hAnsi="宋体"/>
                <w:b/>
                <w:color w:val="000000" w:themeColor="text1"/>
                <w:sz w:val="21"/>
                <w:szCs w:val="21"/>
              </w:rPr>
            </w:pPr>
            <w:r>
              <w:rPr>
                <w:rFonts w:hint="eastAsia" w:ascii="宋体" w:hAnsi="宋体"/>
                <w:b/>
                <w:color w:val="000000" w:themeColor="text1"/>
                <w:sz w:val="21"/>
                <w:szCs w:val="21"/>
              </w:rPr>
              <w:t>（2）结合公司的■产品/服务■环境因素■危险源，■确定 □未确定法律法规要求的具体条款，</w:t>
            </w:r>
          </w:p>
          <w:p>
            <w:pPr>
              <w:pStyle w:val="13"/>
              <w:tabs>
                <w:tab w:val="left" w:pos="540"/>
              </w:tabs>
              <w:spacing w:line="300" w:lineRule="exact"/>
              <w:ind w:firstLine="0" w:firstLineChars="0"/>
              <w:rPr>
                <w:rFonts w:ascii="宋体" w:hAnsi="宋体"/>
                <w:b/>
                <w:color w:val="000000" w:themeColor="text1"/>
                <w:sz w:val="21"/>
                <w:szCs w:val="21"/>
              </w:rPr>
            </w:pPr>
            <w:r>
              <w:rPr>
                <w:rFonts w:hint="eastAsia" w:ascii="宋体" w:hAnsi="宋体"/>
                <w:b/>
                <w:color w:val="000000" w:themeColor="text1"/>
                <w:sz w:val="21"/>
                <w:szCs w:val="21"/>
              </w:rPr>
              <w:t>（3）法律法规的宣传方式：培训、会议、张贴。</w:t>
            </w:r>
          </w:p>
          <w:p>
            <w:pPr>
              <w:pStyle w:val="13"/>
              <w:tabs>
                <w:tab w:val="left" w:pos="540"/>
              </w:tabs>
              <w:spacing w:line="300" w:lineRule="exact"/>
              <w:ind w:firstLine="0" w:firstLineChars="0"/>
              <w:rPr>
                <w:rFonts w:ascii="Times New Roman" w:hAnsi="Times New Roman"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hint="eastAsia" w:ascii="宋体" w:hAnsi="宋体" w:eastAsia="宋体"/>
                <w:b/>
                <w:color w:val="000000" w:themeColor="text1"/>
                <w:sz w:val="21"/>
                <w:szCs w:val="21"/>
                <w:lang w:eastAsia="zh-CN"/>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kern w:val="0"/>
                <w:sz w:val="21"/>
                <w:szCs w:val="21"/>
                <w:lang w:eastAsia="zh-CN"/>
              </w:rPr>
              <w:t>。</w:t>
            </w:r>
          </w:p>
          <w:p>
            <w:pPr>
              <w:spacing w:line="276" w:lineRule="auto"/>
              <w:rPr>
                <w:rFonts w:hint="default" w:ascii="宋体" w:hAnsi="宋体" w:eastAsia="宋体" w:cs="宋体"/>
                <w:sz w:val="21"/>
                <w:szCs w:val="21"/>
                <w:lang w:val="en-US" w:eastAsia="zh-CN"/>
              </w:rPr>
            </w:pPr>
            <w:r>
              <w:rPr>
                <w:rFonts w:hint="eastAsia" w:ascii="宋体" w:hAnsi="宋体" w:cs="宋体"/>
                <w:sz w:val="21"/>
                <w:szCs w:val="21"/>
              </w:rPr>
              <w:t>公司管理目标</w:t>
            </w:r>
            <w:r>
              <w:rPr>
                <w:rFonts w:hint="eastAsia" w:ascii="宋体" w:hAnsi="宋体" w:cs="宋体"/>
                <w:sz w:val="21"/>
                <w:szCs w:val="21"/>
                <w:lang w:val="en-US" w:eastAsia="zh-CN"/>
              </w:rPr>
              <w:t xml:space="preserve">                        考核时间：2020年1月-11月</w:t>
            </w:r>
          </w:p>
          <w:p>
            <w:pPr>
              <w:spacing w:line="276" w:lineRule="auto"/>
              <w:rPr>
                <w:rFonts w:hint="default" w:ascii="宋体" w:hAnsi="宋体" w:eastAsia="宋体" w:cs="宋体"/>
                <w:sz w:val="21"/>
                <w:szCs w:val="21"/>
                <w:lang w:val="en-US" w:eastAsia="zh-CN"/>
              </w:rPr>
            </w:pPr>
            <w:r>
              <w:rPr>
                <w:rFonts w:hint="eastAsia" w:ascii="宋体" w:hAnsi="宋体" w:cs="宋体"/>
                <w:sz w:val="21"/>
                <w:szCs w:val="21"/>
              </w:rPr>
              <w:t>1）设计合格率达100%</w:t>
            </w:r>
            <w:r>
              <w:rPr>
                <w:rFonts w:hint="eastAsia" w:ascii="宋体" w:hAnsi="宋体" w:cs="宋体"/>
                <w:sz w:val="21"/>
                <w:szCs w:val="21"/>
                <w:lang w:val="en-US" w:eastAsia="zh-CN"/>
              </w:rPr>
              <w:t xml:space="preserve">                            100%              </w:t>
            </w:r>
          </w:p>
          <w:p>
            <w:pPr>
              <w:spacing w:line="276" w:lineRule="auto"/>
              <w:rPr>
                <w:rFonts w:hint="default" w:ascii="宋体" w:hAnsi="宋体" w:eastAsia="宋体" w:cs="宋体"/>
                <w:sz w:val="21"/>
                <w:szCs w:val="21"/>
                <w:lang w:val="en-US" w:eastAsia="zh-CN"/>
              </w:rPr>
            </w:pPr>
            <w:r>
              <w:rPr>
                <w:rFonts w:hint="eastAsia" w:ascii="宋体" w:hAnsi="宋体" w:cs="宋体"/>
                <w:sz w:val="21"/>
                <w:szCs w:val="21"/>
              </w:rPr>
              <w:t>2）顾客满意率≥ 90 分</w:t>
            </w:r>
            <w:r>
              <w:rPr>
                <w:rFonts w:hint="eastAsia" w:ascii="宋体" w:hAnsi="宋体" w:cs="宋体"/>
                <w:sz w:val="21"/>
                <w:szCs w:val="21"/>
                <w:lang w:val="en-US" w:eastAsia="zh-CN"/>
              </w:rPr>
              <w:t xml:space="preserve">                           96分</w:t>
            </w:r>
          </w:p>
          <w:p>
            <w:pPr>
              <w:spacing w:line="276" w:lineRule="auto"/>
              <w:rPr>
                <w:rFonts w:hint="default" w:ascii="宋体" w:hAnsi="宋体" w:eastAsia="宋体" w:cs="宋体"/>
                <w:sz w:val="21"/>
                <w:szCs w:val="21"/>
                <w:lang w:val="en-US" w:eastAsia="zh-CN"/>
              </w:rPr>
            </w:pPr>
            <w:r>
              <w:rPr>
                <w:rFonts w:hint="eastAsia" w:ascii="宋体" w:hAnsi="宋体" w:cs="宋体"/>
                <w:sz w:val="21"/>
                <w:szCs w:val="21"/>
              </w:rPr>
              <w:t>3）合同履约率≥ 95 %</w:t>
            </w:r>
            <w:r>
              <w:rPr>
                <w:rFonts w:hint="eastAsia" w:ascii="宋体" w:hAnsi="宋体" w:cs="宋体"/>
                <w:sz w:val="21"/>
                <w:szCs w:val="21"/>
                <w:lang w:val="en-US" w:eastAsia="zh-CN"/>
              </w:rPr>
              <w:t xml:space="preserve">                            100%</w:t>
            </w:r>
          </w:p>
          <w:p>
            <w:pPr>
              <w:spacing w:line="276" w:lineRule="auto"/>
              <w:rPr>
                <w:rFonts w:hint="default" w:ascii="宋体" w:hAnsi="宋体" w:eastAsia="宋体" w:cs="宋体"/>
                <w:sz w:val="21"/>
                <w:szCs w:val="21"/>
                <w:lang w:val="en-US" w:eastAsia="zh-CN"/>
              </w:rPr>
            </w:pPr>
            <w:r>
              <w:rPr>
                <w:rFonts w:hint="eastAsia" w:ascii="宋体" w:hAnsi="宋体" w:cs="宋体"/>
                <w:sz w:val="21"/>
                <w:szCs w:val="21"/>
              </w:rPr>
              <w:t>4）固体废弃物分类有效处理率100%</w:t>
            </w:r>
            <w:r>
              <w:rPr>
                <w:rFonts w:hint="eastAsia" w:ascii="宋体" w:hAnsi="宋体" w:cs="宋体"/>
                <w:sz w:val="21"/>
                <w:szCs w:val="21"/>
                <w:lang w:val="en-US" w:eastAsia="zh-CN"/>
              </w:rPr>
              <w:t xml:space="preserve">                 100%</w:t>
            </w:r>
          </w:p>
          <w:p>
            <w:pPr>
              <w:spacing w:line="276" w:lineRule="auto"/>
              <w:rPr>
                <w:rFonts w:hint="default" w:ascii="宋体" w:hAnsi="宋体" w:eastAsia="宋体" w:cs="宋体"/>
                <w:sz w:val="21"/>
                <w:szCs w:val="21"/>
                <w:lang w:val="en-US" w:eastAsia="zh-CN"/>
              </w:rPr>
            </w:pPr>
            <w:r>
              <w:rPr>
                <w:rFonts w:hint="eastAsia" w:ascii="宋体" w:hAnsi="宋体" w:cs="宋体"/>
                <w:sz w:val="21"/>
                <w:szCs w:val="21"/>
              </w:rPr>
              <w:t>5）火灾事故为0</w:t>
            </w:r>
            <w:r>
              <w:rPr>
                <w:rFonts w:hint="eastAsia" w:ascii="宋体" w:hAnsi="宋体" w:cs="宋体"/>
                <w:sz w:val="21"/>
                <w:szCs w:val="21"/>
                <w:lang w:val="en-US" w:eastAsia="zh-CN"/>
              </w:rPr>
              <w:t xml:space="preserve">                                   0</w:t>
            </w:r>
          </w:p>
          <w:p>
            <w:pPr>
              <w:spacing w:line="276" w:lineRule="auto"/>
              <w:rPr>
                <w:rFonts w:hint="default" w:ascii="宋体" w:hAnsi="宋体" w:eastAsia="宋体" w:cs="宋体"/>
                <w:color w:val="FF0000"/>
                <w:kern w:val="2"/>
                <w:sz w:val="21"/>
                <w:szCs w:val="21"/>
                <w:lang w:val="en-US" w:eastAsia="zh-CN" w:bidi="ar-SA"/>
              </w:rPr>
            </w:pPr>
            <w:r>
              <w:rPr>
                <w:rFonts w:hint="eastAsia" w:ascii="宋体" w:hAnsi="宋体" w:cs="宋体"/>
                <w:sz w:val="21"/>
                <w:szCs w:val="21"/>
              </w:rPr>
              <w:t>6）车辆伤害事故为0</w:t>
            </w:r>
            <w:r>
              <w:rPr>
                <w:rFonts w:hint="eastAsia" w:ascii="宋体" w:hAnsi="宋体" w:cs="宋体"/>
                <w:sz w:val="21"/>
                <w:szCs w:val="21"/>
                <w:lang w:val="en-US" w:eastAsia="zh-CN"/>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ind w:firstLine="420" w:firstLineChars="200"/>
              <w:rPr>
                <w:rFonts w:ascii="宋体" w:hAnsi="宋体" w:eastAsia="宋体" w:cs="Times New Roman"/>
                <w:b/>
                <w:color w:val="000000" w:themeColor="text1"/>
                <w:kern w:val="2"/>
                <w:sz w:val="21"/>
                <w:szCs w:val="21"/>
                <w:lang w:val="en-US" w:eastAsia="zh-CN" w:bidi="ar-SA"/>
              </w:rPr>
            </w:pPr>
            <w:r>
              <w:rPr>
                <w:rFonts w:hint="eastAsia" w:ascii="宋体" w:hAnsi="宋体" w:cs="宋体"/>
                <w:color w:val="000000" w:themeColor="text1"/>
                <w:sz w:val="21"/>
                <w:szCs w:val="21"/>
              </w:rPr>
              <w:t>公司按照申请认证的标准要求，建立并形成了文件化的质量、</w:t>
            </w:r>
            <w:r>
              <w:rPr>
                <w:rFonts w:hint="eastAsia" w:ascii="宋体" w:hAnsi="宋体"/>
                <w:color w:val="000000" w:themeColor="text1"/>
                <w:sz w:val="21"/>
                <w:szCs w:val="21"/>
              </w:rPr>
              <w:t>环境和职业健康安全</w:t>
            </w:r>
            <w:r>
              <w:rPr>
                <w:rFonts w:hint="eastAsia" w:ascii="宋体" w:hAnsi="宋体" w:cs="宋体"/>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color w:val="000000" w:themeColor="text1"/>
                <w:sz w:val="21"/>
                <w:szCs w:val="21"/>
              </w:rPr>
              <w:t>2019</w:t>
            </w:r>
            <w:r>
              <w:rPr>
                <w:rFonts w:hint="eastAsia" w:ascii="宋体" w:hAnsi="宋体" w:cs="宋体"/>
                <w:color w:val="000000" w:themeColor="text1"/>
                <w:sz w:val="21"/>
                <w:szCs w:val="21"/>
              </w:rPr>
              <w:t>年5月8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eastAsia="宋体" w:cs="Times New Roman"/>
                <w:b/>
                <w:color w:val="000000" w:themeColor="text1"/>
                <w:kern w:val="2"/>
                <w:sz w:val="21"/>
                <w:szCs w:val="21"/>
                <w:lang w:val="en-US" w:eastAsia="zh-CN" w:bidi="ar-SA"/>
              </w:rPr>
            </w:pPr>
            <w:r>
              <w:rPr>
                <w:rFonts w:hint="eastAsia" w:ascii="宋体" w:hAnsi="宋体"/>
                <w:bCs/>
                <w:iCs/>
                <w:sz w:val="21"/>
                <w:szCs w:val="21"/>
              </w:rPr>
              <w:t>组织按管理体系需求配置了充足的人员、设施等资源，并建立维持了</w:t>
            </w:r>
            <w:r>
              <w:rPr>
                <w:rFonts w:hint="eastAsia" w:ascii="宋体" w:hAnsi="宋体"/>
                <w:sz w:val="21"/>
                <w:szCs w:val="21"/>
              </w:rPr>
              <w:t>服务的</w:t>
            </w:r>
            <w:r>
              <w:rPr>
                <w:rFonts w:hint="eastAsia" w:ascii="宋体" w:hAnsi="宋体"/>
                <w:bCs/>
                <w:iCs/>
                <w:sz w:val="21"/>
                <w:szCs w:val="21"/>
              </w:rPr>
              <w:t>运行环境，可以维持管理体系的正常运行。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sz w:val="21"/>
                <w:szCs w:val="21"/>
              </w:rPr>
            </w:pPr>
            <w:r>
              <w:rPr>
                <w:rFonts w:hint="eastAsia" w:ascii="宋体" w:hAnsi="宋体"/>
                <w:b/>
                <w:sz w:val="21"/>
                <w:szCs w:val="21"/>
              </w:rPr>
              <w:t>设备设施（包括信息系统）、</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Times New Roman"/>
                <w:b/>
                <w:kern w:val="2"/>
                <w:sz w:val="21"/>
                <w:szCs w:val="21"/>
                <w:lang w:val="en-US" w:eastAsia="zh-CN" w:bidi="ar-SA"/>
              </w:rPr>
            </w:pPr>
            <w:r>
              <w:rPr>
                <w:rFonts w:hint="eastAsia" w:ascii="宋体" w:hAnsi="宋体"/>
                <w:sz w:val="21"/>
                <w:szCs w:val="21"/>
              </w:rPr>
              <w:t>办公场所面积100平方左右，</w:t>
            </w:r>
            <w:r>
              <w:rPr>
                <w:rFonts w:hint="eastAsia" w:ascii="宋体" w:hAnsi="宋体" w:cs="宋体"/>
                <w:sz w:val="21"/>
                <w:szCs w:val="21"/>
              </w:rPr>
              <w:t>主要设备为办公室设备</w:t>
            </w:r>
            <w:r>
              <w:rPr>
                <w:rFonts w:hint="eastAsia" w:ascii="宋体" w:hAnsi="宋体"/>
                <w:sz w:val="21"/>
                <w:szCs w:val="21"/>
              </w:rPr>
              <w:t>，可以满足城镇燃气工程设计的需要</w:t>
            </w:r>
            <w:r>
              <w:rPr>
                <w:rFonts w:hint="eastAsia" w:ascii="宋体" w:hAnsi="宋体" w:cs="宋体"/>
                <w:sz w:val="21"/>
                <w:szCs w:val="21"/>
              </w:rPr>
              <w:t>。对设备按要求维护保养，并实施。特种设备：无。公司未建立信息管理系统用于生产和服务。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sz w:val="21"/>
                <w:szCs w:val="21"/>
              </w:rPr>
            </w:pPr>
            <w:r>
              <w:rPr>
                <w:rFonts w:hint="eastAsia" w:ascii="宋体" w:hAnsi="宋体"/>
                <w:b/>
                <w:sz w:val="21"/>
                <w:szCs w:val="21"/>
              </w:rPr>
              <w:t>过程运行环境</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eastAsia="宋体" w:cs="Times New Roman"/>
                <w:b/>
                <w:kern w:val="2"/>
                <w:sz w:val="21"/>
                <w:szCs w:val="21"/>
                <w:lang w:val="en-US" w:eastAsia="zh-CN" w:bidi="ar-SA"/>
              </w:rPr>
            </w:pPr>
            <w:r>
              <w:rPr>
                <w:rFonts w:hint="eastAsia" w:ascii="宋体" w:hAnsi="宋体" w:cs="宋体"/>
                <w:sz w:val="21"/>
                <w:szCs w:val="21"/>
              </w:rPr>
              <w:t>办公场所及办公设备布置合理，通道畅通，照明设施齐全，均配备了消防设施等设施。办公室明亮，场内光线较充足。每月由行政部对工作环境进行定期检查。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sz w:val="21"/>
                <w:szCs w:val="21"/>
              </w:rPr>
            </w:pPr>
            <w:r>
              <w:rPr>
                <w:rFonts w:hint="eastAsia" w:ascii="宋体" w:hAnsi="宋体"/>
                <w:b/>
                <w:sz w:val="21"/>
                <w:szCs w:val="21"/>
              </w:rPr>
              <w:t>监视和测量资源</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eastAsia="宋体" w:cs="Times New Roman"/>
                <w:b/>
                <w:kern w:val="2"/>
                <w:sz w:val="21"/>
                <w:szCs w:val="21"/>
                <w:lang w:val="en-US" w:eastAsia="zh-CN" w:bidi="ar-SA"/>
              </w:rPr>
            </w:pPr>
            <w:r>
              <w:rPr>
                <w:rFonts w:hint="eastAsia" w:ascii="宋体" w:hAnsi="宋体" w:cs="宋体"/>
                <w:sz w:val="21"/>
                <w:szCs w:val="21"/>
              </w:rPr>
              <w:t>质量检查以查验和评审方式进行，暂未配置检测设备。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000000" w:themeColor="text1"/>
                <w:sz w:val="21"/>
                <w:szCs w:val="21"/>
              </w:rPr>
            </w:pPr>
            <w:r>
              <w:rPr>
                <w:rFonts w:hint="eastAsia" w:ascii="宋体" w:hAnsi="宋体"/>
                <w:b/>
                <w:color w:val="000000" w:themeColor="text1"/>
                <w:sz w:val="21"/>
                <w:szCs w:val="21"/>
              </w:rPr>
              <w:t>知识</w:t>
            </w:r>
          </w:p>
          <w:p>
            <w:pPr>
              <w:keepNext w:val="0"/>
              <w:keepLines w:val="0"/>
              <w:pageBreakBefore w:val="0"/>
              <w:widowControl w:val="0"/>
              <w:kinsoku/>
              <w:wordWrap/>
              <w:overflowPunct/>
              <w:topLinePunct w:val="0"/>
              <w:autoSpaceDE/>
              <w:autoSpaceDN/>
              <w:bidi w:val="0"/>
              <w:adjustRightInd/>
              <w:snapToGrid/>
              <w:spacing w:line="240" w:lineRule="exact"/>
              <w:ind w:firstLine="315" w:firstLineChars="150"/>
              <w:textAlignment w:val="auto"/>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keepNext w:val="0"/>
              <w:keepLines w:val="0"/>
              <w:pageBreakBefore w:val="0"/>
              <w:widowControl w:val="0"/>
              <w:kinsoku/>
              <w:wordWrap/>
              <w:overflowPunct/>
              <w:topLinePunct w:val="0"/>
              <w:autoSpaceDE/>
              <w:autoSpaceDN/>
              <w:bidi w:val="0"/>
              <w:adjustRightInd/>
              <w:snapToGrid/>
              <w:spacing w:line="240" w:lineRule="exact"/>
              <w:ind w:firstLine="315" w:firstLineChars="150"/>
              <w:textAlignment w:val="auto"/>
              <w:rPr>
                <w:rFonts w:ascii="宋体" w:hAnsi="宋体"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sz w:val="21"/>
                <w:szCs w:val="21"/>
              </w:rPr>
            </w:pPr>
            <w:r>
              <w:rPr>
                <w:rFonts w:hint="eastAsia" w:ascii="宋体" w:hAnsi="宋体"/>
                <w:b/>
                <w:sz w:val="21"/>
                <w:szCs w:val="21"/>
              </w:rPr>
              <w:t>环保设施：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Times New Roman"/>
                <w:kern w:val="2"/>
                <w:sz w:val="21"/>
                <w:szCs w:val="21"/>
                <w:lang w:val="en-US" w:eastAsia="zh-CN" w:bidi="ar-SA"/>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sz w:val="21"/>
                <w:szCs w:val="21"/>
              </w:rPr>
            </w:pPr>
            <w:r>
              <w:rPr>
                <w:rFonts w:hint="eastAsia" w:ascii="宋体" w:hAnsi="宋体"/>
                <w:b/>
                <w:sz w:val="21"/>
                <w:szCs w:val="21"/>
              </w:rPr>
              <w:t>职业健康安全设施：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Times New Roman"/>
                <w:kern w:val="2"/>
                <w:sz w:val="21"/>
                <w:szCs w:val="21"/>
                <w:lang w:val="en-US" w:eastAsia="zh-CN" w:bidi="ar-SA"/>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3"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leftChars="0" w:firstLine="420" w:firstLineChars="20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内部沟通的效果：良好</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组织对外联络，关注顾客的感受情况（QMS）：采取顾客满意度调查方式了解顾客感受。</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外部信息的接收、成文并答复的情况（E、S填写）：对会议通知和规定等登记处理</w:t>
            </w:r>
          </w:p>
          <w:p>
            <w:pPr>
              <w:spacing w:line="240" w:lineRule="exact"/>
              <w:rPr>
                <w:rFonts w:ascii="楷体_GB2312" w:eastAsia="楷体_GB2312"/>
                <w:b/>
                <w:color w:val="000000" w:themeColor="text1"/>
                <w:sz w:val="21"/>
                <w:szCs w:val="21"/>
              </w:rPr>
            </w:pPr>
          </w:p>
          <w:p>
            <w:pPr>
              <w:spacing w:line="240" w:lineRule="exact"/>
              <w:rPr>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 w:val="21"/>
                <w:szCs w:val="21"/>
              </w:rPr>
            </w:pPr>
          </w:p>
          <w:p>
            <w:pPr>
              <w:spacing w:line="240" w:lineRule="exact"/>
              <w:rPr>
                <w:rFonts w:ascii="楷体_GB2312" w:hAnsi="Times New Roman" w:eastAsia="楷体_GB2312" w:cs="Times New Roman"/>
                <w:b/>
                <w:color w:val="000000" w:themeColor="text1"/>
                <w:kern w:val="2"/>
                <w:sz w:val="21"/>
                <w:szCs w:val="21"/>
                <w:lang w:val="en-US" w:eastAsia="zh-CN" w:bidi="ar-SA"/>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ind w:firstLine="420" w:firstLineChars="20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 w:val="21"/>
                <w:szCs w:val="21"/>
              </w:rPr>
            </w:pPr>
            <w:r>
              <w:rPr>
                <w:rFonts w:hint="eastAsia" w:ascii="宋体" w:hAnsi="宋体" w:cs="宋体"/>
                <w:color w:val="000000"/>
                <w:sz w:val="21"/>
                <w:szCs w:val="21"/>
              </w:rPr>
              <w:t>制定并实施了检验控制规定，规定了公司各管理层次和品质检测部门在各阶段对设计成果质量实施检查与验收的管理要求，设计成果的验收工作均在交付前予以完成。内容基本具备全面性、系统性及可操作性，范围包括：过程、最终产品。以此保证持续向顾客稳定提供稳定合格的产品。</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300" w:lineRule="exact"/>
              <w:ind w:firstLine="207" w:firstLineChars="98"/>
              <w:rPr>
                <w:rFonts w:hint="eastAsia" w:eastAsia="宋体"/>
                <w:b/>
                <w:sz w:val="21"/>
                <w:szCs w:val="21"/>
                <w:lang w:eastAsia="zh-CN"/>
              </w:rPr>
            </w:pPr>
            <w:r>
              <w:rPr>
                <w:rFonts w:hint="eastAsia"/>
                <w:b/>
                <w:sz w:val="21"/>
                <w:szCs w:val="21"/>
                <w:lang w:val="en-US" w:eastAsia="zh-CN"/>
              </w:rPr>
              <w:t>无</w:t>
            </w:r>
          </w:p>
          <w:p>
            <w:pPr>
              <w:spacing w:line="300" w:lineRule="exact"/>
              <w:ind w:firstLine="207" w:firstLineChars="98"/>
              <w:rPr>
                <w:rFonts w:ascii="Times New Roman" w:hAnsi="Times New Roman" w:eastAsia="宋体" w:cs="Times New Roman"/>
                <w:b/>
                <w:color w:val="000000" w:themeColor="text1"/>
                <w:kern w:val="2"/>
                <w:sz w:val="21"/>
                <w:szCs w:val="21"/>
                <w:lang w:val="en-US" w:eastAsia="zh-CN" w:bidi="ar-SA"/>
              </w:rPr>
            </w:pPr>
            <w:r>
              <w:rPr>
                <w:rFonts w:hint="eastAsia"/>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ind w:firstLine="420" w:firstLineChars="20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color w:val="000000" w:themeColor="text1"/>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FF0000"/>
                <w:sz w:val="21"/>
                <w:szCs w:val="21"/>
              </w:rPr>
            </w:pPr>
            <w:r>
              <w:rPr>
                <w:rFonts w:hint="eastAsia"/>
                <w:b/>
                <w:color w:val="000000" w:themeColor="text1"/>
                <w:sz w:val="21"/>
                <w:szCs w:val="21"/>
              </w:rPr>
              <w:t>（EMS对重要环境因素控制，重大环境因素对周边环境产生的影响及控制;对相关方施加影响</w:t>
            </w:r>
            <w:r>
              <w:rPr>
                <w:rFonts w:hint="eastAsia"/>
                <w:b/>
                <w:color w:val="FF0000"/>
                <w:sz w:val="21"/>
                <w:szCs w:val="21"/>
              </w:rPr>
              <w:t>）</w:t>
            </w:r>
          </w:p>
          <w:p>
            <w:pPr>
              <w:tabs>
                <w:tab w:val="left" w:pos="2552"/>
              </w:tabs>
              <w:spacing w:line="360" w:lineRule="exact"/>
              <w:ind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color w:val="000000" w:themeColor="text1"/>
                <w:sz w:val="21"/>
                <w:szCs w:val="21"/>
              </w:rPr>
              <w:t>组织重要环境因</w:t>
            </w:r>
            <w:r>
              <w:rPr>
                <w:rFonts w:hint="eastAsia" w:asciiTheme="minorEastAsia" w:hAnsiTheme="minorEastAsia" w:eastAsiaTheme="minorEastAsia"/>
                <w:bCs/>
                <w:iCs/>
                <w:sz w:val="21"/>
                <w:szCs w:val="21"/>
              </w:rPr>
              <w:t>素为</w:t>
            </w:r>
            <w:r>
              <w:rPr>
                <w:rFonts w:hint="eastAsia" w:ascii="宋体" w:hAnsi="宋体"/>
                <w:sz w:val="21"/>
                <w:szCs w:val="21"/>
              </w:rPr>
              <w:t>潜在火灾、固废排放</w:t>
            </w:r>
            <w:r>
              <w:rPr>
                <w:rFonts w:hint="eastAsia" w:asciiTheme="minorEastAsia" w:hAnsiTheme="minorEastAsia" w:eastAsiaTheme="minorEastAsia"/>
                <w:bCs/>
                <w:iCs/>
                <w:sz w:val="21"/>
                <w:szCs w:val="21"/>
              </w:rPr>
              <w:t>，需要应对的风险和机遇相关的过程为设计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ind w:firstLine="420" w:firstLineChars="200"/>
              <w:rPr>
                <w:rFonts w:cs="Times New Roman" w:asciiTheme="minorEastAsia" w:hAnsiTheme="minorEastAsia" w:eastAsiaTheme="minorEastAsia"/>
                <w:b/>
                <w:color w:val="000000" w:themeColor="text1"/>
                <w:spacing w:val="-4"/>
                <w:kern w:val="2"/>
                <w:sz w:val="21"/>
                <w:szCs w:val="21"/>
                <w:lang w:val="en-US" w:eastAsia="zh-CN" w:bidi="ar-SA"/>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1"/>
                <w:szCs w:val="21"/>
              </w:rPr>
            </w:pPr>
            <w:r>
              <w:rPr>
                <w:rFonts w:hint="eastAsia"/>
                <w:b/>
                <w:sz w:val="21"/>
                <w:szCs w:val="21"/>
              </w:rPr>
              <w:t>10. 对特种设备的维护; （适用时）</w:t>
            </w:r>
          </w:p>
          <w:p>
            <w:pPr>
              <w:spacing w:line="240" w:lineRule="exact"/>
              <w:rPr>
                <w:rFonts w:ascii="Times New Roman" w:hAnsi="Times New Roman" w:eastAsia="宋体" w:cs="Times New Roman"/>
                <w:b/>
                <w:kern w:val="2"/>
                <w:sz w:val="21"/>
                <w:szCs w:val="21"/>
                <w:lang w:val="en-US" w:eastAsia="zh-CN" w:bidi="ar-SA"/>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1"/>
                <w:szCs w:val="21"/>
              </w:rPr>
            </w:pPr>
            <w:r>
              <w:rPr>
                <w:rFonts w:hint="eastAsia"/>
                <w:b/>
                <w:sz w:val="21"/>
                <w:szCs w:val="21"/>
              </w:rPr>
              <w:t>11 .对危险化学品销售、使用、储存、运输处置，规定的执行力度(必要时); （适用时）</w:t>
            </w:r>
          </w:p>
          <w:p>
            <w:pPr>
              <w:spacing w:line="240" w:lineRule="exact"/>
              <w:rPr>
                <w:rFonts w:ascii="Times New Roman" w:hAnsi="Times New Roman" w:eastAsia="宋体" w:cs="Times New Roman"/>
                <w:kern w:val="2"/>
                <w:sz w:val="21"/>
                <w:szCs w:val="21"/>
                <w:lang w:val="en-US" w:eastAsia="zh-CN" w:bidi="ar-SA"/>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5" w:hangingChars="50"/>
              <w:rPr>
                <w:b/>
                <w:sz w:val="21"/>
                <w:szCs w:val="21"/>
              </w:rPr>
            </w:pPr>
            <w:r>
              <w:rPr>
                <w:rFonts w:hint="eastAsia"/>
                <w:b/>
                <w:sz w:val="21"/>
                <w:szCs w:val="21"/>
              </w:rPr>
              <w:t>1. .对质量/环境/职业健康安全目标指标进行定期监测/检查情况（适用时）</w:t>
            </w:r>
          </w:p>
          <w:p>
            <w:pPr>
              <w:spacing w:line="240" w:lineRule="exact"/>
              <w:ind w:firstLine="525" w:firstLineChars="250"/>
              <w:rPr>
                <w:rFonts w:ascii="Times New Roman" w:hAnsi="Times New Roman" w:eastAsia="宋体" w:cs="Times New Roman"/>
                <w:b/>
                <w:kern w:val="2"/>
                <w:sz w:val="21"/>
                <w:szCs w:val="21"/>
                <w:lang w:val="en-US" w:eastAsia="zh-CN" w:bidi="ar-SA"/>
              </w:rPr>
            </w:pPr>
            <w:r>
              <w:rPr>
                <w:rFonts w:hint="eastAsia" w:ascii="宋体" w:hAnsi="宋体" w:cs="宋体"/>
                <w:sz w:val="21"/>
                <w:szCs w:val="21"/>
              </w:rPr>
              <w:t>公司制定、发布了总体目标并分解到相关职能部门和层次，规定了目标值、计算方法、责任部门、检查人、考核频次等。同时，质量目标得到沟通和监视评价，通过</w:t>
            </w:r>
            <w:r>
              <w:rPr>
                <w:rFonts w:hint="eastAsia" w:ascii="宋体" w:hAnsi="宋体" w:cs="宋体"/>
                <w:sz w:val="21"/>
                <w:szCs w:val="21"/>
                <w:highlight w:val="none"/>
              </w:rPr>
              <w:t>数据的汇总统计、描述性统计等方法对目标进行了测量，总体已达到或超过了规定的目标值。通过2</w:t>
            </w:r>
            <w:r>
              <w:rPr>
                <w:rFonts w:hint="eastAsia" w:ascii="宋体" w:hAnsi="宋体" w:cs="宋体"/>
                <w:sz w:val="21"/>
                <w:szCs w:val="21"/>
                <w:highlight w:val="none"/>
                <w:lang w:val="en-US" w:eastAsia="zh-CN"/>
              </w:rPr>
              <w:t>020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cs="宋体"/>
                <w:sz w:val="21"/>
                <w:szCs w:val="21"/>
                <w:highlight w:val="none"/>
              </w:rPr>
              <w:t>月20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11</w:t>
            </w:r>
            <w:r>
              <w:rPr>
                <w:rFonts w:hint="eastAsia" w:ascii="宋体" w:hAnsi="宋体" w:cs="宋体"/>
                <w:sz w:val="2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5" w:hangingChars="50"/>
              <w:rPr>
                <w:b/>
                <w:color w:val="000000" w:themeColor="text1"/>
                <w:sz w:val="21"/>
                <w:szCs w:val="21"/>
                <w:highlight w:val="none"/>
              </w:rPr>
            </w:pPr>
            <w:r>
              <w:rPr>
                <w:rFonts w:hint="eastAsia"/>
                <w:b/>
                <w:color w:val="000000" w:themeColor="text1"/>
                <w:sz w:val="21"/>
                <w:szCs w:val="21"/>
                <w:highlight w:val="none"/>
              </w:rPr>
              <w:t>2.顾客满意</w:t>
            </w:r>
          </w:p>
          <w:p>
            <w:pPr>
              <w:spacing w:line="240" w:lineRule="exact"/>
              <w:ind w:left="120" w:leftChars="50" w:firstLine="315" w:firstLineChars="150"/>
              <w:rPr>
                <w:rFonts w:ascii="Times New Roman" w:hAnsi="Times New Roman" w:eastAsia="宋体" w:cs="Times New Roman"/>
                <w:b/>
                <w:color w:val="000000" w:themeColor="text1"/>
                <w:kern w:val="2"/>
                <w:sz w:val="21"/>
                <w:szCs w:val="21"/>
                <w:highlight w:val="none"/>
                <w:lang w:val="en-US" w:eastAsia="zh-CN" w:bidi="ar-SA"/>
              </w:rPr>
            </w:pPr>
            <w:r>
              <w:rPr>
                <w:rFonts w:hint="eastAsia" w:ascii="宋体" w:hAnsi="宋体" w:cs="宋体"/>
                <w:color w:val="000000"/>
                <w:sz w:val="21"/>
                <w:szCs w:val="21"/>
                <w:highlight w:val="none"/>
              </w:rPr>
              <w:t>公司建立了顾客满意度监视和测量控制程序，对顾</w:t>
            </w:r>
            <w:r>
              <w:rPr>
                <w:rFonts w:hint="eastAsia" w:ascii="宋体" w:hAnsi="宋体" w:cs="宋体"/>
                <w:sz w:val="21"/>
                <w:szCs w:val="21"/>
                <w:highlight w:val="none"/>
              </w:rPr>
              <w:t>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年7月实施，满意度评价9</w:t>
            </w:r>
            <w:r>
              <w:rPr>
                <w:rFonts w:hint="eastAsia" w:ascii="宋体" w:hAnsi="宋体" w:cs="宋体"/>
                <w:sz w:val="21"/>
                <w:szCs w:val="21"/>
                <w:highlight w:val="none"/>
                <w:lang w:val="en-US" w:eastAsia="zh-CN"/>
              </w:rPr>
              <w:t>6</w:t>
            </w:r>
            <w:r>
              <w:rPr>
                <w:rFonts w:hint="eastAsia" w:ascii="宋体" w:hAnsi="宋体" w:cs="宋体"/>
                <w:sz w:val="21"/>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1"/>
                <w:szCs w:val="21"/>
                <w:highlight w:val="none"/>
              </w:rPr>
            </w:pPr>
            <w:r>
              <w:rPr>
                <w:rFonts w:hint="eastAsia"/>
                <w:b/>
                <w:color w:val="000000" w:themeColor="text1"/>
                <w:sz w:val="21"/>
                <w:szCs w:val="21"/>
                <w:highlight w:val="none"/>
              </w:rPr>
              <w:t>3.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宋体" w:cs="Times New Roman"/>
                <w:b/>
                <w:color w:val="FF0000"/>
                <w:kern w:val="2"/>
                <w:sz w:val="21"/>
                <w:szCs w:val="21"/>
                <w:highlight w:val="none"/>
                <w:lang w:val="en-US" w:eastAsia="zh-CN" w:bidi="ar-SA"/>
              </w:rPr>
            </w:pPr>
            <w:r>
              <w:rPr>
                <w:rFonts w:hint="eastAsia" w:ascii="宋体" w:hAnsi="宋体"/>
                <w:sz w:val="21"/>
                <w:szCs w:val="21"/>
                <w:highlight w:val="none"/>
              </w:rPr>
              <w:t>建立有《内部审核控制程序》，规定了内审频次一年一次，内审时间：20</w:t>
            </w:r>
            <w:r>
              <w:rPr>
                <w:rFonts w:hint="eastAsia" w:ascii="宋体" w:hAnsi="宋体"/>
                <w:sz w:val="21"/>
                <w:szCs w:val="21"/>
                <w:highlight w:val="none"/>
                <w:lang w:val="en-US" w:eastAsia="zh-CN"/>
              </w:rPr>
              <w:t>20</w:t>
            </w:r>
            <w:r>
              <w:rPr>
                <w:rFonts w:hint="eastAsia" w:ascii="宋体" w:hAnsi="宋体"/>
                <w:sz w:val="21"/>
                <w:szCs w:val="21"/>
                <w:highlight w:val="none"/>
              </w:rPr>
              <w:t>年8月</w:t>
            </w:r>
            <w:r>
              <w:rPr>
                <w:rFonts w:hint="eastAsia" w:ascii="宋体" w:hAnsi="宋体"/>
                <w:sz w:val="21"/>
                <w:szCs w:val="21"/>
                <w:highlight w:val="none"/>
                <w:lang w:val="en-US" w:eastAsia="zh-CN"/>
              </w:rPr>
              <w:t>1</w:t>
            </w:r>
            <w:r>
              <w:rPr>
                <w:rFonts w:hint="eastAsia" w:ascii="宋体" w:hAnsi="宋体"/>
                <w:sz w:val="21"/>
                <w:szCs w:val="21"/>
                <w:highlight w:val="none"/>
              </w:rPr>
              <w:t>日-</w:t>
            </w:r>
            <w:r>
              <w:rPr>
                <w:rFonts w:hint="eastAsia" w:ascii="宋体" w:hAnsi="宋体"/>
                <w:sz w:val="21"/>
                <w:szCs w:val="21"/>
                <w:highlight w:val="none"/>
                <w:lang w:val="en-US" w:eastAsia="zh-CN"/>
              </w:rPr>
              <w:t>2</w:t>
            </w:r>
            <w:r>
              <w:rPr>
                <w:rFonts w:hint="eastAsia" w:ascii="宋体" w:hAnsi="宋体"/>
                <w:sz w:val="21"/>
                <w:szCs w:val="21"/>
                <w:highlight w:val="none"/>
              </w:rPr>
              <w:t>日，拟定了审核实施表，明确了内审范围，内审人员经培训合格上岗，能力满足要求，未出现审核本部门情况，内审不符合项</w:t>
            </w:r>
            <w:r>
              <w:rPr>
                <w:rFonts w:hint="eastAsia" w:ascii="宋体" w:hAnsi="宋体"/>
                <w:sz w:val="21"/>
                <w:szCs w:val="21"/>
                <w:highlight w:val="none"/>
                <w:lang w:val="en-US" w:eastAsia="zh-CN"/>
              </w:rPr>
              <w:t>1</w:t>
            </w:r>
            <w:r>
              <w:rPr>
                <w:rFonts w:hint="eastAsia" w:ascii="宋体" w:hAnsi="宋体"/>
                <w:sz w:val="21"/>
                <w:szCs w:val="21"/>
                <w:highlight w:val="none"/>
              </w:rPr>
              <w:t>项，涉及</w:t>
            </w:r>
            <w:r>
              <w:rPr>
                <w:rFonts w:hint="eastAsia" w:ascii="宋体" w:hAnsi="宋体"/>
                <w:sz w:val="21"/>
                <w:szCs w:val="21"/>
                <w:highlight w:val="none"/>
                <w:lang w:val="en-US" w:eastAsia="zh-CN"/>
              </w:rPr>
              <w:t>行政部ES8.1条款</w:t>
            </w:r>
            <w:r>
              <w:rPr>
                <w:rFonts w:hint="eastAsia" w:ascii="宋体" w:hAnsi="宋体"/>
                <w:sz w:val="21"/>
                <w:szCs w:val="21"/>
                <w:highlight w:val="none"/>
              </w:rPr>
              <w:t>2020.06月未进行环境安全运行检查，针对以上不符合项，已及时采取纠正措施后，经内审员验证关闭。内审的有效性需要改善。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240" w:lineRule="exact"/>
              <w:ind w:firstLine="420" w:firstLineChars="20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sz w:val="21"/>
                <w:szCs w:val="21"/>
              </w:rPr>
              <w:t>管理评审频次为一年一次、本次管理评审于</w:t>
            </w:r>
            <w:r>
              <w:rPr>
                <w:rFonts w:hint="eastAsia" w:ascii="宋体" w:hAnsi="宋体"/>
                <w:sz w:val="21"/>
                <w:szCs w:val="21"/>
                <w:highlight w:val="none"/>
              </w:rPr>
              <w:t>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8</w:t>
            </w:r>
            <w:r>
              <w:rPr>
                <w:rFonts w:hint="eastAsia" w:ascii="宋体" w:hAnsi="宋体"/>
                <w:sz w:val="21"/>
                <w:szCs w:val="21"/>
                <w:highlight w:val="none"/>
              </w:rPr>
              <w:t>月</w:t>
            </w:r>
            <w:r>
              <w:rPr>
                <w:rFonts w:hint="eastAsia" w:ascii="宋体" w:hAnsi="宋体"/>
                <w:sz w:val="21"/>
                <w:szCs w:val="21"/>
                <w:highlight w:val="none"/>
                <w:lang w:val="en-US" w:eastAsia="zh-CN"/>
              </w:rPr>
              <w:t>22</w:t>
            </w:r>
            <w:r>
              <w:rPr>
                <w:rFonts w:hint="eastAsia" w:ascii="宋体" w:hAnsi="宋体"/>
                <w:sz w:val="21"/>
                <w:szCs w:val="21"/>
                <w:highlight w:val="none"/>
              </w:rPr>
              <w:t>日</w:t>
            </w:r>
            <w:r>
              <w:rPr>
                <w:rFonts w:hint="eastAsia" w:ascii="宋体" w:hAnsi="宋体" w:cs="宋体"/>
                <w:sz w:val="21"/>
                <w:szCs w:val="21"/>
                <w:highlight w:val="none"/>
              </w:rPr>
              <w:t>由</w:t>
            </w:r>
            <w:r>
              <w:rPr>
                <w:rFonts w:hint="eastAsia" w:ascii="宋体" w:hAnsi="宋体" w:cs="宋体"/>
                <w:sz w:val="21"/>
                <w:szCs w:val="21"/>
              </w:rPr>
              <w:t>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z w:val="21"/>
                <w:szCs w:val="21"/>
              </w:rPr>
            </w:pPr>
            <w:r>
              <w:rPr>
                <w:rFonts w:hint="eastAsia"/>
                <w:b/>
                <w:sz w:val="21"/>
                <w:szCs w:val="21"/>
              </w:rPr>
              <w:t>5.  EMS是否按规定对主要污染物（污水、废气、噪声、废渣等）及排放实施了例行的监视或测量，结果是否满足相关要求？</w:t>
            </w:r>
          </w:p>
          <w:p>
            <w:pPr>
              <w:spacing w:line="240" w:lineRule="exact"/>
              <w:ind w:firstLine="211" w:firstLineChars="100"/>
              <w:rPr>
                <w:rFonts w:ascii="Times New Roman" w:hAnsi="Times New Roman" w:eastAsia="宋体" w:cs="Times New Roman"/>
                <w:kern w:val="2"/>
                <w:sz w:val="21"/>
                <w:szCs w:val="21"/>
                <w:lang w:val="en-US" w:eastAsia="zh-CN" w:bidi="ar-SA"/>
              </w:rPr>
            </w:pPr>
            <w:r>
              <w:rPr>
                <w:rFonts w:hint="eastAsia"/>
                <w:b/>
                <w:bCs/>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z w:val="21"/>
                <w:szCs w:val="21"/>
              </w:rPr>
            </w:pPr>
            <w:r>
              <w:rPr>
                <w:rFonts w:hint="eastAsia"/>
                <w:b/>
                <w:sz w:val="21"/>
                <w:szCs w:val="21"/>
              </w:rPr>
              <w:t xml:space="preserve">6.  </w:t>
            </w:r>
            <w:r>
              <w:rPr>
                <w:b/>
                <w:sz w:val="21"/>
                <w:szCs w:val="21"/>
              </w:rPr>
              <w:t>EMS</w:t>
            </w:r>
            <w:r>
              <w:rPr>
                <w:rFonts w:hint="eastAsia"/>
                <w:b/>
                <w:sz w:val="21"/>
                <w:szCs w:val="21"/>
              </w:rPr>
              <w:t xml:space="preserve">国家/地方环保部门监测结果、新改扩建项目符合环评报告、三同时验收报告要求情况及措施 </w:t>
            </w:r>
          </w:p>
          <w:p>
            <w:pPr>
              <w:spacing w:line="240" w:lineRule="exact"/>
              <w:rPr>
                <w:rFonts w:ascii="Times New Roman" w:hAnsi="Times New Roman" w:eastAsia="宋体" w:cs="Times New Roman"/>
                <w:b/>
                <w:kern w:val="2"/>
                <w:sz w:val="21"/>
                <w:szCs w:val="21"/>
                <w:lang w:val="en-US" w:eastAsia="zh-CN" w:bidi="ar-SA"/>
              </w:rPr>
            </w:pPr>
            <w:r>
              <w:rPr>
                <w:rFonts w:hint="eastAsia"/>
                <w:b/>
                <w:bCs/>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sz w:val="21"/>
                <w:szCs w:val="21"/>
              </w:rPr>
            </w:pPr>
            <w:r>
              <w:rPr>
                <w:rFonts w:hint="eastAsia"/>
                <w:b/>
                <w:sz w:val="21"/>
                <w:szCs w:val="21"/>
              </w:rPr>
              <w:t>7. OHSMS是否按规定对职业健康安全项目进行定期测量，结果是否满足相关要求：</w:t>
            </w:r>
          </w:p>
          <w:p>
            <w:pPr>
              <w:spacing w:line="240" w:lineRule="exact"/>
              <w:rPr>
                <w:rFonts w:ascii="Times New Roman" w:hAnsi="Times New Roman" w:eastAsia="宋体" w:cs="Times New Roman"/>
                <w:b/>
                <w:kern w:val="2"/>
                <w:sz w:val="21"/>
                <w:szCs w:val="21"/>
                <w:lang w:val="en-US" w:eastAsia="zh-CN" w:bidi="ar-SA"/>
              </w:rPr>
            </w:pPr>
            <w:r>
              <w:rPr>
                <w:rFonts w:hint="eastAsia"/>
                <w:b/>
                <w:bCs/>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z w:val="21"/>
                <w:szCs w:val="21"/>
              </w:rPr>
            </w:pPr>
            <w:r>
              <w:rPr>
                <w:rFonts w:hint="eastAsia"/>
                <w:b/>
                <w:sz w:val="21"/>
                <w:szCs w:val="21"/>
              </w:rPr>
              <w:t>8.OHSMS国家/地方职业健康安全部门监督检查情况及措施</w:t>
            </w:r>
          </w:p>
          <w:p>
            <w:pPr>
              <w:spacing w:line="240" w:lineRule="exact"/>
              <w:rPr>
                <w:rFonts w:ascii="Times New Roman" w:hAnsi="Times New Roman" w:eastAsia="宋体" w:cs="Times New Roman"/>
                <w:b/>
                <w:kern w:val="2"/>
                <w:sz w:val="21"/>
                <w:szCs w:val="21"/>
                <w:lang w:val="en-US" w:eastAsia="zh-CN" w:bidi="ar-SA"/>
              </w:rPr>
            </w:pPr>
            <w:r>
              <w:rPr>
                <w:rFonts w:hint="eastAsia"/>
                <w:b/>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sz w:val="21"/>
                <w:szCs w:val="21"/>
              </w:rPr>
            </w:pPr>
            <w:r>
              <w:rPr>
                <w:rFonts w:hint="eastAsia"/>
                <w:b/>
                <w:color w:val="000000" w:themeColor="text1"/>
                <w:sz w:val="21"/>
                <w:szCs w:val="21"/>
              </w:rPr>
              <w:t>9</w:t>
            </w:r>
            <w:r>
              <w:rPr>
                <w:rFonts w:hint="eastAsia"/>
                <w:b/>
                <w:sz w:val="21"/>
                <w:szCs w:val="21"/>
              </w:rPr>
              <w:t>. 其他能够标明组织绩效、信誉的证据/信息：</w:t>
            </w:r>
          </w:p>
          <w:p>
            <w:pPr>
              <w:widowControl/>
              <w:spacing w:line="240" w:lineRule="exact"/>
              <w:rPr>
                <w:rFonts w:ascii="Times New Roman" w:hAnsi="Times New Roman" w:eastAsia="宋体" w:cs="Times New Roman"/>
                <w:b/>
                <w:kern w:val="2"/>
                <w:sz w:val="21"/>
                <w:szCs w:val="21"/>
                <w:lang w:val="en-US" w:eastAsia="zh-CN" w:bidi="ar-SA"/>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20" w:type="dxa"/>
            <w:vMerge w:val="continue"/>
            <w:vAlign w:val="center"/>
          </w:tcPr>
          <w:p>
            <w:pPr>
              <w:spacing w:line="240" w:lineRule="exact"/>
              <w:jc w:val="center"/>
              <w:rPr>
                <w:b/>
                <w:sz w:val="20"/>
              </w:rPr>
            </w:pPr>
          </w:p>
        </w:tc>
        <w:tc>
          <w:tcPr>
            <w:tcW w:w="9198"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0"/>
              <w:rPr>
                <w:rFonts w:hint="default" w:ascii="宋体" w:hAnsi="宋体" w:eastAsia="宋体"/>
                <w:b/>
                <w:sz w:val="21"/>
                <w:szCs w:val="21"/>
                <w:lang w:val="en-US" w:eastAsia="zh-CN"/>
              </w:rPr>
            </w:pPr>
            <w:r>
              <w:rPr>
                <w:rFonts w:hint="eastAsia" w:ascii="宋体" w:hAnsi="宋体"/>
                <w:b/>
                <w:sz w:val="21"/>
                <w:szCs w:val="21"/>
                <w:lang w:val="en-US" w:eastAsia="zh-CN"/>
              </w:rPr>
              <w:t>上次不符合为8.4.1，已完成整改，经本次审核验证均整改且无类似不符合情况出现，整改有效</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hint="eastAsia"/>
          <w:b/>
          <w:spacing w:val="-10"/>
          <w:szCs w:val="21"/>
          <w:lang w:eastAsia="zh-CN"/>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5"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w:t>
      </w:r>
      <w:r>
        <w:rPr>
          <w:rFonts w:hint="eastAsia" w:ascii="宋体" w:hAnsi="宋体"/>
          <w:b/>
          <w:szCs w:val="21"/>
          <w:lang w:val="en-US" w:eastAsia="zh-CN"/>
        </w:rPr>
        <w:t xml:space="preserve"> 行政部</w:t>
      </w:r>
      <w:r>
        <w:rPr>
          <w:rFonts w:hint="eastAsia" w:ascii="宋体" w:hAnsi="宋体"/>
          <w:b/>
          <w:szCs w:val="21"/>
        </w:rPr>
        <w:t>部门</w:t>
      </w:r>
      <w:r>
        <w:rPr>
          <w:rFonts w:hint="eastAsia" w:ascii="宋体" w:hAnsi="宋体"/>
          <w:b/>
          <w:szCs w:val="21"/>
          <w:lang w:val="en-US" w:eastAsia="zh-CN"/>
        </w:rPr>
        <w:t xml:space="preserve"> ES9.1.2 </w:t>
      </w:r>
      <w:r>
        <w:rPr>
          <w:rFonts w:hint="eastAsia" w:ascii="宋体" w:hAnsi="宋体"/>
          <w:b/>
          <w:szCs w:val="21"/>
        </w:rPr>
        <w:t>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top"/>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rFonts w:hint="eastAsia"/>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tabs>
                <w:tab w:val="left" w:pos="2552"/>
              </w:tabs>
              <w:spacing w:beforeLines="50" w:afterLines="50" w:line="280" w:lineRule="exact"/>
              <w:ind w:firstLine="480" w:firstLineChars="200"/>
              <w:rPr>
                <w:rFonts w:hint="eastAsia"/>
                <w:b/>
                <w:color w:val="000000" w:themeColor="text1"/>
                <w:sz w:val="22"/>
                <w:szCs w:val="22"/>
              </w:rPr>
            </w:pPr>
            <w:r>
              <w:rPr>
                <w:rFonts w:hint="eastAsia" w:ascii="微软雅黑" w:hAnsi="微软雅黑" w:eastAsia="微软雅黑"/>
                <w:bCs/>
                <w:szCs w:val="24"/>
              </w:rPr>
              <w:t>综上所</w:t>
            </w:r>
            <w:r>
              <w:rPr>
                <w:rFonts w:hint="eastAsia" w:ascii="微软雅黑" w:hAnsi="微软雅黑" w:eastAsia="微软雅黑" w:cs="Times New Roman"/>
                <w:bCs/>
                <w:szCs w:val="24"/>
              </w:rPr>
              <w:t>述，审核组一致认为（四川傲永科技有限责任公司）的</w:t>
            </w:r>
            <w:r>
              <w:rPr>
                <w:rFonts w:hint="eastAsia" w:ascii="微软雅黑" w:hAnsi="微软雅黑" w:eastAsia="微软雅黑" w:cs="Times New Roman"/>
                <w:bCs/>
                <w:szCs w:val="24"/>
                <w:lang w:val="en-US" w:eastAsia="zh-CN"/>
              </w:rPr>
              <w:t>质量、</w:t>
            </w:r>
            <w:r>
              <w:rPr>
                <w:rFonts w:hint="eastAsia" w:ascii="微软雅黑" w:hAnsi="微软雅黑" w:eastAsia="微软雅黑" w:cs="Times New Roman"/>
                <w:bCs/>
                <w:szCs w:val="24"/>
                <w:lang w:eastAsia="zh-CN"/>
              </w:rPr>
              <w:t>环境、职业健康安全</w:t>
            </w:r>
            <w:r>
              <w:rPr>
                <w:rFonts w:hint="eastAsia" w:ascii="微软雅黑" w:hAnsi="微软雅黑" w:eastAsia="微软雅黑" w:cs="Times New Roman"/>
                <w:bCs/>
                <w:szCs w:val="24"/>
              </w:rPr>
              <w:t>管理体系适宜、充分、得到良好的实施和保持，体系运行</w:t>
            </w:r>
            <w:r>
              <w:rPr>
                <w:rFonts w:hint="eastAsia" w:ascii="微软雅黑" w:hAnsi="微软雅黑" w:eastAsia="微软雅黑"/>
                <w:spacing w:val="14"/>
                <w:szCs w:val="24"/>
              </w:rPr>
              <w:t>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lang w:val="en-US" w:eastAsia="zh-CN"/>
        </w:rPr>
        <w:t>60</w:t>
      </w:r>
      <w:r>
        <w:rPr>
          <w:rFonts w:hint="eastAsia"/>
          <w:b/>
          <w:sz w:val="21"/>
        </w:rPr>
        <w:t>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2020.12.30</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rFonts w:hint="eastAsia"/>
          <w:b/>
          <w:bCs/>
          <w:sz w:val="21"/>
          <w:szCs w:val="21"/>
        </w:rPr>
      </w:pPr>
    </w:p>
    <w:p>
      <w:pPr>
        <w:spacing w:line="360" w:lineRule="exact"/>
        <w:ind w:firstLine="843" w:firstLineChars="400"/>
        <w:rPr>
          <w:b/>
          <w:sz w:val="21"/>
          <w:szCs w:val="21"/>
        </w:rPr>
      </w:pPr>
      <w:bookmarkStart w:id="27" w:name="_GoBack"/>
      <w:bookmarkEnd w:id="27"/>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6EB1EF"/>
    <w:multiLevelType w:val="singleLevel"/>
    <w:tmpl w:val="8E6EB1EF"/>
    <w:lvl w:ilvl="0" w:tentative="0">
      <w:start w:val="3"/>
      <w:numFmt w:val="decimal"/>
      <w:suff w:val="space"/>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3C7954"/>
    <w:rsid w:val="0DBE47EF"/>
    <w:rsid w:val="59AF20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11</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2020-12-30T05:58:00Z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