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0725-2020-EO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成都爱天使健康咨询有限公司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文平</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冉景洲</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余家龙</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宋明珠</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李林</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梅月</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r>
              <w:rPr>
                <w:b/>
                <w:color w:val="000000"/>
                <w:sz w:val="20"/>
                <w:szCs w:val="20"/>
              </w:rPr>
              <w:t>O:专家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E:38.04.00</w:t>
            </w:r>
          </w:p>
          <w:p>
            <w:pPr>
              <w:spacing w:line="240" w:lineRule="exact"/>
              <w:jc w:val="center"/>
              <w:rPr>
                <w:b/>
                <w:color w:val="000000"/>
                <w:sz w:val="20"/>
                <w:szCs w:val="20"/>
              </w:rPr>
            </w:pPr>
            <w:r>
              <w:rPr>
                <w:b/>
                <w:color w:val="000000"/>
                <w:sz w:val="20"/>
                <w:szCs w:val="20"/>
              </w:rPr>
              <w:t>O:38.04.00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hint="eastAsia" w:ascii="宋体" w:hAnsi="宋体"/>
          <w:b/>
          <w:color w:val="000000"/>
          <w:spacing w:val="-4"/>
          <w:sz w:val="20"/>
          <w:szCs w:val="20"/>
        </w:rPr>
        <w:t>GB/T45001-2020</w:t>
      </w:r>
      <w:r>
        <w:rPr>
          <w:rFonts w:ascii="宋体" w:hAnsi="宋体"/>
          <w:b/>
          <w:color w:val="000000"/>
          <w:sz w:val="20"/>
          <w:szCs w:val="20"/>
          <w:lang w:val="de-DE"/>
        </w:rPr>
        <w:t xml:space="preserve"> </w:t>
      </w:r>
      <w:r>
        <w:rPr>
          <w:rFonts w:hint="eastAsia" w:ascii="宋体" w:hAnsi="宋体" w:eastAsia="宋体" w:cs="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809"/>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成都爱天使健康咨询有限公司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成都市成华区双林路339号1栋5层525号</w:t>
            </w:r>
            <w:bookmarkEnd w:id="10"/>
          </w:p>
        </w:tc>
        <w:tc>
          <w:tcPr>
            <w:tcW w:w="809"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991" w:type="dxa"/>
          </w:tcPr>
          <w:p>
            <w:pPr>
              <w:spacing w:line="280" w:lineRule="exact"/>
              <w:rPr>
                <w:rFonts w:ascii="宋体"/>
                <w:b/>
                <w:color w:val="000000"/>
                <w:sz w:val="20"/>
                <w:szCs w:val="20"/>
              </w:rPr>
            </w:pPr>
            <w:bookmarkStart w:id="11" w:name="注册邮编"/>
            <w:r>
              <w:rPr>
                <w:rFonts w:ascii="宋体"/>
                <w:b/>
                <w:color w:val="000000"/>
                <w:sz w:val="20"/>
                <w:szCs w:val="20"/>
              </w:rPr>
              <w:t>610000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809" w:type="dxa"/>
            <w:vMerge w:val="continue"/>
            <w:vAlign w:val="center"/>
          </w:tcPr>
          <w:p>
            <w:pPr>
              <w:spacing w:line="280" w:lineRule="exact"/>
              <w:jc w:val="center"/>
              <w:rPr>
                <w:rFonts w:ascii="宋体"/>
                <w:b/>
                <w:color w:val="000000"/>
                <w:sz w:val="20"/>
                <w:szCs w:val="20"/>
              </w:rPr>
            </w:pPr>
          </w:p>
        </w:tc>
        <w:tc>
          <w:tcPr>
            <w:tcW w:w="1991"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成都市成华区双林路339号1栋5层525号</w:t>
            </w:r>
            <w:bookmarkEnd w:id="14"/>
          </w:p>
        </w:tc>
        <w:tc>
          <w:tcPr>
            <w:tcW w:w="809" w:type="dxa"/>
            <w:vMerge w:val="continue"/>
            <w:vAlign w:val="center"/>
          </w:tcPr>
          <w:p>
            <w:pPr>
              <w:spacing w:line="280" w:lineRule="exact"/>
              <w:jc w:val="center"/>
              <w:rPr>
                <w:rFonts w:ascii="宋体"/>
                <w:b/>
                <w:color w:val="000000"/>
                <w:sz w:val="20"/>
                <w:szCs w:val="20"/>
              </w:rPr>
            </w:pPr>
          </w:p>
        </w:tc>
        <w:tc>
          <w:tcPr>
            <w:tcW w:w="1991" w:type="dxa"/>
          </w:tcPr>
          <w:p>
            <w:pPr>
              <w:spacing w:line="280" w:lineRule="exact"/>
              <w:rPr>
                <w:rFonts w:ascii="宋体"/>
                <w:b/>
                <w:color w:val="000000"/>
                <w:sz w:val="20"/>
                <w:szCs w:val="20"/>
              </w:rPr>
            </w:pPr>
            <w:bookmarkStart w:id="15" w:name="生产邮编Add1"/>
            <w:r>
              <w:rPr>
                <w:rFonts w:ascii="宋体"/>
                <w:b/>
                <w:color w:val="000000"/>
                <w:sz w:val="20"/>
                <w:szCs w:val="20"/>
              </w:rPr>
              <w:t>610000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张政</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15503232345</w:t>
            </w:r>
            <w:bookmarkEnd w:id="17"/>
          </w:p>
        </w:tc>
        <w:tc>
          <w:tcPr>
            <w:tcW w:w="809"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991"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陈华</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蒋慧</w:t>
            </w:r>
            <w:bookmarkEnd w:id="20"/>
          </w:p>
        </w:tc>
        <w:tc>
          <w:tcPr>
            <w:tcW w:w="809" w:type="dxa"/>
          </w:tcPr>
          <w:p>
            <w:pPr>
              <w:jc w:val="center"/>
              <w:rPr>
                <w:rFonts w:ascii="宋体"/>
                <w:b/>
                <w:color w:val="000000"/>
                <w:sz w:val="20"/>
                <w:szCs w:val="20"/>
              </w:rPr>
            </w:pPr>
            <w:r>
              <w:rPr>
                <w:rFonts w:hint="eastAsia" w:ascii="宋体"/>
                <w:b/>
                <w:color w:val="000000"/>
                <w:sz w:val="20"/>
                <w:szCs w:val="20"/>
              </w:rPr>
              <w:t>邮箱</w:t>
            </w:r>
          </w:p>
        </w:tc>
        <w:tc>
          <w:tcPr>
            <w:tcW w:w="1991" w:type="dxa"/>
          </w:tcPr>
          <w:p>
            <w:pPr>
              <w:rPr>
                <w:rFonts w:ascii="宋体"/>
                <w:b/>
                <w:color w:val="000000"/>
                <w:sz w:val="20"/>
                <w:szCs w:val="20"/>
              </w:rPr>
            </w:pPr>
            <w:bookmarkStart w:id="21" w:name="联系人邮箱Add1"/>
            <w:r>
              <w:rPr>
                <w:rFonts w:ascii="宋体"/>
                <w:b/>
                <w:color w:val="000000"/>
                <w:sz w:val="20"/>
                <w:szCs w:val="20"/>
              </w:rPr>
              <w:t>1874952083@qq.com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E：病人陪护服务（不含诊疗）所涉及场所的相关环境管理活动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O：病人陪护服务（不含诊疗）所涉及场所的相关职业健康安全管理活动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E：38.04.00</w:t>
            </w:r>
          </w:p>
          <w:p>
            <w:pPr>
              <w:spacing w:line="280" w:lineRule="exact"/>
              <w:rPr>
                <w:rFonts w:ascii="宋体"/>
                <w:b/>
                <w:color w:val="000000"/>
                <w:sz w:val="20"/>
                <w:szCs w:val="20"/>
              </w:rPr>
            </w:pPr>
            <w:r>
              <w:rPr>
                <w:rFonts w:ascii="宋体"/>
                <w:b/>
                <w:color w:val="000000"/>
                <w:sz w:val="20"/>
                <w:szCs w:val="20"/>
              </w:rPr>
              <w:t>O：38.04.00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hint="eastAsia" w:ascii="宋体" w:eastAsia="宋体"/>
                <w:b/>
                <w:color w:val="000000"/>
                <w:sz w:val="20"/>
                <w:szCs w:val="20"/>
                <w:lang w:val="en-US" w:eastAsia="zh-CN"/>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91" w:firstLineChars="148"/>
        <w:rPr>
          <w:rFonts w:ascii="宋体"/>
          <w:b/>
          <w:color w:val="000000"/>
          <w:sz w:val="20"/>
          <w:szCs w:val="20"/>
        </w:rPr>
      </w:pPr>
      <w:r>
        <w:rPr>
          <w:rFonts w:hint="eastAsia" w:ascii="宋体" w:hAnsi="宋体"/>
          <w:b/>
          <w:color w:val="000000"/>
          <w:spacing w:val="-2"/>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lang w:val="en-US" w:eastAsia="zh-CN"/>
        </w:rPr>
        <w:t>未在</w:t>
      </w:r>
      <w:r>
        <w:rPr>
          <w:rFonts w:hint="eastAsia" w:ascii="宋体" w:hAnsi="宋体"/>
          <w:b/>
          <w:color w:val="000000"/>
          <w:sz w:val="20"/>
          <w:szCs w:val="20"/>
        </w:rPr>
        <w:t>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程序文件、管理手册、内审、管理评审等。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管理层、行政人事部、业务部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color w:val="000000"/>
          <w:sz w:val="20"/>
          <w:szCs w:val="20"/>
          <w:lang w:val="en-US" w:eastAsia="zh-CN"/>
        </w:rPr>
        <w:t>办公及经营场所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rPr>
              <w:t>病人陪护服务（不含诊疗）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公司部门设置：管理层、行政人事部、业务部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管理体系推进部门：行政人事部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环境管理主管部门：行政人事部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职业健康安全主管部门：行政人事部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r>
              <w:t>成都市成华区双林路339号1栋5层525号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hAns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default" w:ascii="宋体" w:eastAsia="宋体"/>
                <w:color w:val="000000"/>
                <w:sz w:val="20"/>
                <w:szCs w:val="20"/>
                <w:lang w:val="en-US" w:eastAsia="zh-CN"/>
              </w:rPr>
            </w:pPr>
            <w:r>
              <w:rPr>
                <w:rFonts w:hint="eastAsia" w:ascii="宋体" w:hAnsi="宋体"/>
                <w:color w:val="000000"/>
                <w:sz w:val="20"/>
                <w:szCs w:val="20"/>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themeColor="text1"/>
                <w:sz w:val="20"/>
                <w:szCs w:val="20"/>
              </w:rPr>
            </w:pPr>
            <w:r>
              <w:rPr>
                <w:rFonts w:hint="eastAsia" w:ascii="宋体" w:hAnsi="宋体"/>
                <w:color w:val="000000"/>
                <w:sz w:val="20"/>
                <w:szCs w:val="20"/>
              </w:rPr>
              <w:t>受审核方位于：</w:t>
            </w:r>
            <w:bookmarkStart w:id="24" w:name="生产地址"/>
            <w:r>
              <w:t>成都市成华区双林</w:t>
            </w:r>
            <w:r>
              <w:rPr>
                <w:color w:val="000000" w:themeColor="text1"/>
              </w:rPr>
              <w:t>路339号1栋5层525号</w:t>
            </w:r>
            <w:bookmarkEnd w:id="24"/>
          </w:p>
          <w:p>
            <w:pPr>
              <w:tabs>
                <w:tab w:val="left" w:pos="360"/>
              </w:tabs>
              <w:ind w:left="357" w:hanging="357"/>
              <w:rPr>
                <w:rFonts w:ascii="宋体"/>
                <w:color w:val="000000" w:themeColor="text1"/>
                <w:sz w:val="20"/>
                <w:szCs w:val="20"/>
              </w:rPr>
            </w:pPr>
            <w:r>
              <w:rPr>
                <w:rFonts w:hint="eastAsia" w:ascii="宋体" w:hAnsi="宋体"/>
                <w:color w:val="000000" w:themeColor="text1"/>
                <w:sz w:val="20"/>
                <w:szCs w:val="20"/>
              </w:rPr>
              <w:t>其使用的建筑设施是：</w:t>
            </w:r>
            <w:r>
              <w:rPr>
                <w:rFonts w:hint="eastAsia" w:ascii="宋体" w:hAnsi="宋体"/>
                <w:color w:val="000000" w:themeColor="text1"/>
                <w:spacing w:val="-10"/>
                <w:sz w:val="20"/>
                <w:szCs w:val="20"/>
              </w:rPr>
              <w:t>□</w:t>
            </w:r>
            <w:r>
              <w:rPr>
                <w:rFonts w:hint="eastAsia" w:ascii="宋体" w:hAnsi="宋体"/>
                <w:color w:val="000000" w:themeColor="text1"/>
                <w:sz w:val="20"/>
                <w:szCs w:val="20"/>
              </w:rPr>
              <w:t>自建办公用房</w:t>
            </w:r>
            <w:r>
              <w:rPr>
                <w:rFonts w:hint="eastAsia" w:ascii="宋体" w:hAnsi="宋体"/>
                <w:color w:val="000000" w:themeColor="text1"/>
                <w:spacing w:val="-10"/>
                <w:sz w:val="20"/>
                <w:szCs w:val="20"/>
              </w:rPr>
              <w:t>□</w:t>
            </w:r>
            <w:r>
              <w:rPr>
                <w:rFonts w:hint="eastAsia" w:ascii="宋体" w:hAnsi="宋体"/>
                <w:color w:val="000000" w:themeColor="text1"/>
                <w:sz w:val="20"/>
                <w:szCs w:val="20"/>
              </w:rPr>
              <w:t>自建厂房</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4"/>
              </w:rPr>
            </w:pPr>
            <w:r>
              <w:rPr>
                <w:rFonts w:hint="eastAsia" w:ascii="宋体" w:hAnsi="宋体"/>
                <w:b/>
                <w:color w:val="000000"/>
                <w:sz w:val="20"/>
                <w:szCs w:val="20"/>
              </w:rPr>
              <w:t>如有，请描述具体现场：</w:t>
            </w: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auto"/>
                <w:spacing w:val="-10"/>
                <w:sz w:val="20"/>
                <w:szCs w:val="20"/>
              </w:rPr>
            </w:pPr>
            <w:r>
              <w:rPr>
                <w:rFonts w:hint="eastAsia" w:ascii="宋体"/>
                <w:color w:val="auto"/>
                <w:sz w:val="20"/>
                <w:szCs w:val="20"/>
              </w:rPr>
              <w:t>组织代码证是否有效：</w:t>
            </w:r>
            <w:r>
              <w:rPr>
                <w:rFonts w:hint="eastAsia" w:ascii="宋体"/>
                <w:color w:val="auto"/>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auto"/>
                <w:spacing w:val="-10"/>
                <w:sz w:val="20"/>
                <w:szCs w:val="20"/>
              </w:rPr>
            </w:pPr>
            <w:r>
              <w:rPr>
                <w:rFonts w:hint="eastAsia" w:ascii="宋体"/>
                <w:color w:val="auto"/>
                <w:sz w:val="20"/>
                <w:szCs w:val="20"/>
              </w:rPr>
              <w:t>生产许可证是否有效：</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auto"/>
                <w:sz w:val="20"/>
                <w:szCs w:val="20"/>
              </w:rPr>
            </w:pPr>
            <w:r>
              <w:rPr>
                <w:rFonts w:hint="eastAsia" w:ascii="宋体"/>
                <w:color w:val="auto"/>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auto"/>
                <w:spacing w:val="-10"/>
                <w:sz w:val="20"/>
                <w:szCs w:val="20"/>
              </w:rPr>
            </w:pPr>
            <w:r>
              <w:rPr>
                <w:rFonts w:hint="eastAsia" w:ascii="宋体" w:hAnsi="宋体"/>
                <w:color w:val="auto"/>
                <w:spacing w:val="-10"/>
                <w:sz w:val="20"/>
                <w:szCs w:val="20"/>
                <w:lang w:eastAsia="zh-CN"/>
              </w:rPr>
              <w:t>■</w:t>
            </w:r>
            <w:r>
              <w:rPr>
                <w:rFonts w:hint="eastAsia" w:ascii="宋体" w:hAnsi="宋体"/>
                <w:color w:val="auto"/>
                <w:spacing w:val="-10"/>
                <w:sz w:val="20"/>
                <w:szCs w:val="20"/>
              </w:rPr>
              <w:t>产品技术标准号：</w:t>
            </w:r>
            <w:r>
              <w:rPr>
                <w:rFonts w:hint="eastAsia" w:ascii="宋体" w:hAnsi="宋体"/>
                <w:color w:val="auto"/>
                <w:spacing w:val="-10"/>
                <w:sz w:val="20"/>
                <w:szCs w:val="20"/>
                <w:lang w:val="en-US" w:eastAsia="zh-CN"/>
              </w:rPr>
              <w:t>与客户签订的三方协议</w:t>
            </w:r>
            <w:r>
              <w:rPr>
                <w:rFonts w:hint="eastAsia" w:ascii="宋体" w:hAnsi="宋体"/>
                <w:color w:val="auto"/>
                <w:spacing w:val="-10"/>
                <w:sz w:val="20"/>
                <w:szCs w:val="20"/>
                <w:lang w:eastAsia="zh-CN"/>
              </w:rPr>
              <w:t>■</w:t>
            </w:r>
            <w:r>
              <w:rPr>
                <w:rFonts w:hint="eastAsia" w:ascii="宋体" w:hAnsi="宋体"/>
                <w:color w:val="auto"/>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r>
              <w:rPr>
                <w:rFonts w:hint="eastAsia" w:ascii="宋体" w:hAnsi="宋体" w:cs="宋体"/>
                <w:color w:val="000000" w:themeColor="text1"/>
                <w:sz w:val="21"/>
                <w:szCs w:val="21"/>
              </w:rPr>
              <w:t>大气污染物综合排放标准</w:t>
            </w:r>
            <w:r>
              <w:rPr>
                <w:rFonts w:hint="eastAsia" w:ascii="宋体" w:hAnsi="宋体" w:cs="宋体"/>
                <w:color w:val="000000" w:themeColor="text1"/>
                <w:sz w:val="21"/>
                <w:szCs w:val="21"/>
              </w:rPr>
              <w:tab/>
            </w:r>
            <w:r>
              <w:rPr>
                <w:rFonts w:hint="eastAsia" w:ascii="宋体" w:hAnsi="宋体" w:cs="宋体"/>
                <w:color w:val="000000" w:themeColor="text1"/>
                <w:sz w:val="21"/>
                <w:szCs w:val="21"/>
              </w:rPr>
              <w:t>GB 16297-1996、污水综合排放标准GB 8978-1996地表水环境质量标准GB3838-2002等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 w:val="21"/>
                <w:szCs w:val="21"/>
              </w:rPr>
              <w:t>是否有安全预评价报告，</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 w:val="21"/>
                <w:szCs w:val="21"/>
              </w:rPr>
              <w:t>是否有安全现状评价报告，</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 w:val="21"/>
                <w:szCs w:val="21"/>
              </w:rPr>
              <w:t>是否有消防验收报告</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 w:val="21"/>
                <w:szCs w:val="21"/>
              </w:rPr>
              <w:t>是否申报职业危害场所</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spacing w:line="400" w:lineRule="exact"/>
              <w:rPr>
                <w:rFonts w:ascii="宋体" w:hAnsi="Times New Roman" w:eastAsia="宋体" w:cs="Times New Roman"/>
                <w:color w:val="000000"/>
                <w:kern w:val="2"/>
                <w:sz w:val="21"/>
                <w:szCs w:val="21"/>
                <w:lang w:val="en-US" w:eastAsia="zh-CN" w:bidi="ar-SA"/>
              </w:rPr>
            </w:pPr>
            <w:r>
              <w:rPr>
                <w:rFonts w:hint="eastAsia" w:ascii="宋体"/>
                <w:color w:val="000000" w:themeColor="text1"/>
                <w:sz w:val="21"/>
                <w:szCs w:val="21"/>
              </w:rPr>
              <w:t>执行标准：</w:t>
            </w:r>
            <w:r>
              <w:rPr>
                <w:rFonts w:hint="eastAsia" w:ascii="宋体" w:hAnsi="宋体"/>
                <w:color w:val="000000" w:themeColor="text1"/>
                <w:sz w:val="21"/>
                <w:szCs w:val="21"/>
              </w:rPr>
              <w:t>中华人民共和国安全消防法、中华人民共和国劳动合同法、</w:t>
            </w:r>
            <w:r>
              <w:rPr>
                <w:rFonts w:hint="eastAsia" w:ascii="宋体" w:hAnsi="宋体" w:cs="宋体"/>
                <w:color w:val="000000" w:themeColor="text1"/>
                <w:sz w:val="21"/>
                <w:szCs w:val="21"/>
              </w:rPr>
              <w:t>中华人民共和国安全生产法、火灾事故调查规定GA/T 1034-2012 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1"/>
                <w:szCs w:val="21"/>
              </w:rPr>
            </w:pPr>
            <w:r>
              <w:rPr>
                <w:rFonts w:hint="eastAsia" w:ascii="宋体"/>
                <w:color w:val="000000"/>
                <w:sz w:val="21"/>
                <w:szCs w:val="21"/>
              </w:rPr>
              <w:t>是否接受了行政主管部门的检查</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lang w:eastAsia="zh-CN"/>
              </w:rPr>
              <w:t>■</w:t>
            </w:r>
            <w:r>
              <w:rPr>
                <w:rFonts w:hint="eastAsia" w:ascii="宋体" w:hAnsi="宋体"/>
                <w:color w:val="000000"/>
                <w:sz w:val="21"/>
                <w:szCs w:val="21"/>
              </w:rPr>
              <w:t>否</w:t>
            </w:r>
          </w:p>
          <w:p>
            <w:pPr>
              <w:rPr>
                <w:rFonts w:ascii="宋体" w:hAnsi="Times New Roman" w:eastAsia="宋体" w:cs="Times New Roman"/>
                <w:color w:val="000000"/>
                <w:kern w:val="2"/>
                <w:sz w:val="21"/>
                <w:szCs w:val="21"/>
                <w:lang w:val="en-US" w:eastAsia="zh-CN" w:bidi="ar-SA"/>
              </w:rPr>
            </w:pPr>
            <w:r>
              <w:rPr>
                <w:rFonts w:hint="eastAsia" w:ascii="宋体" w:hAnsi="宋体"/>
                <w:color w:val="000000"/>
                <w:sz w:val="21"/>
                <w:szCs w:val="21"/>
              </w:rPr>
              <w:t>是否列入当地政府黑名单</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 w:val="21"/>
                <w:szCs w:val="21"/>
              </w:rPr>
              <w:t>近期是否发生重大安全生产事故</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vAlign w:val="top"/>
          </w:tcPr>
          <w:p>
            <w:pPr>
              <w:rPr>
                <w:rFonts w:ascii="宋体"/>
                <w:color w:val="000000"/>
                <w:sz w:val="21"/>
                <w:szCs w:val="21"/>
              </w:rPr>
            </w:pPr>
            <w:r>
              <w:rPr>
                <w:rFonts w:hint="eastAsia" w:ascii="宋体"/>
                <w:color w:val="000000"/>
                <w:sz w:val="21"/>
                <w:szCs w:val="21"/>
              </w:rPr>
              <w:t>是否建立了合规性评价程序</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p>
          <w:p>
            <w:pPr>
              <w:rPr>
                <w:rFonts w:ascii="宋体" w:hAnsi="Times New Roman" w:eastAsia="宋体" w:cs="Times New Roman"/>
                <w:color w:val="000000"/>
                <w:kern w:val="2"/>
                <w:sz w:val="21"/>
                <w:szCs w:val="21"/>
                <w:lang w:val="en-US" w:eastAsia="zh-CN" w:bidi="ar-SA"/>
              </w:rPr>
            </w:pPr>
            <w:r>
              <w:rPr>
                <w:rFonts w:hint="eastAsia" w:ascii="宋体" w:hAnsi="宋体"/>
                <w:color w:val="000000"/>
                <w:sz w:val="21"/>
                <w:szCs w:val="21"/>
              </w:rPr>
              <w:t>是否实施了合规性评价</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pStyle w:val="2"/>
              <w:rPr>
                <w:rFonts w:hint="eastAsia" w:ascii="宋体" w:eastAsia="宋体"/>
                <w:color w:val="000000"/>
                <w:sz w:val="20"/>
                <w:szCs w:val="20"/>
                <w:lang w:eastAsia="zh-CN"/>
              </w:rPr>
            </w:pPr>
            <w:r>
              <w:rPr>
                <w:rFonts w:hint="eastAsia" w:ascii="宋体" w:hAnsi="宋体" w:eastAsia="宋体" w:cs="Times New Roman"/>
                <w:b w:val="0"/>
                <w:bCs w:val="0"/>
                <w:kern w:val="2"/>
                <w:sz w:val="21"/>
                <w:szCs w:val="21"/>
                <w:highlight w:val="none"/>
                <w:lang w:val="en-US" w:eastAsia="zh-CN" w:bidi="ar-SA"/>
              </w:rPr>
              <w:t>市场调研-客户需求-订单（要求）评审-</w:t>
            </w:r>
            <w:r>
              <w:rPr>
                <w:rFonts w:hint="eastAsia" w:ascii="宋体" w:hAnsi="宋体" w:cs="Times New Roman"/>
                <w:b w:val="0"/>
                <w:bCs w:val="0"/>
                <w:kern w:val="2"/>
                <w:sz w:val="21"/>
                <w:szCs w:val="21"/>
                <w:highlight w:val="none"/>
                <w:lang w:val="en-US" w:eastAsia="zh-CN" w:bidi="ar-SA"/>
              </w:rPr>
              <w:t>人员派遣-陪护实施</w:t>
            </w:r>
            <w:r>
              <w:rPr>
                <w:rFonts w:hint="eastAsia" w:ascii="宋体" w:hAnsi="宋体" w:eastAsia="宋体" w:cs="Times New Roman"/>
                <w:b w:val="0"/>
                <w:bCs w:val="0"/>
                <w:kern w:val="2"/>
                <w:sz w:val="21"/>
                <w:szCs w:val="21"/>
                <w:highlight w:val="none"/>
                <w:lang w:val="en-US" w:eastAsia="zh-CN" w:bidi="ar-SA"/>
              </w:rPr>
              <w:t>-</w:t>
            </w:r>
            <w:r>
              <w:rPr>
                <w:rFonts w:hint="eastAsia" w:ascii="宋体" w:hAnsi="宋体" w:cs="Times New Roman"/>
                <w:b w:val="0"/>
                <w:bCs w:val="0"/>
                <w:kern w:val="2"/>
                <w:sz w:val="21"/>
                <w:szCs w:val="21"/>
                <w:highlight w:val="none"/>
                <w:lang w:val="en-US" w:eastAsia="zh-CN" w:bidi="ar-SA"/>
              </w:rPr>
              <w:t>客户确认</w:t>
            </w:r>
            <w:r>
              <w:rPr>
                <w:rFonts w:hint="eastAsia" w:ascii="宋体" w:hAnsi="宋体" w:eastAsia="宋体" w:cs="Times New Roman"/>
                <w:b w:val="0"/>
                <w:bCs w:val="0"/>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ascii="宋体" w:hAnsi="宋体"/>
                <w:szCs w:val="21"/>
                <w:highlight w:val="none"/>
              </w:rPr>
              <w:t>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针对关键过程建立的控制文件有：与顾客有关要求控制程序</w:t>
            </w:r>
            <w:r>
              <w:rPr>
                <w:rFonts w:hint="eastAsia" w:ascii="宋体" w:hAnsi="宋体"/>
                <w:color w:val="000000"/>
                <w:sz w:val="20"/>
                <w:szCs w:val="20"/>
                <w:lang w:eastAsia="zh-CN"/>
              </w:rPr>
              <w:t>、</w:t>
            </w:r>
            <w:r>
              <w:rPr>
                <w:rFonts w:hint="eastAsia" w:ascii="宋体" w:hAnsi="宋体"/>
                <w:color w:val="000000"/>
                <w:sz w:val="20"/>
                <w:szCs w:val="20"/>
              </w:rPr>
              <w:t>不合格品控制程序</w:t>
            </w:r>
            <w:r>
              <w:rPr>
                <w:rFonts w:hint="eastAsia" w:ascii="宋体" w:hAnsi="宋体"/>
                <w:color w:val="000000"/>
                <w:sz w:val="20"/>
                <w:szCs w:val="20"/>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szCs w:val="21"/>
                <w:highlight w:val="none"/>
              </w:rPr>
              <w:t>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olor w:val="000000" w:themeColor="text1"/>
                <w:spacing w:val="-10"/>
                <w:sz w:val="20"/>
                <w:szCs w:val="20"/>
              </w:rPr>
              <w:t>电脑、打印机等办公设备</w:t>
            </w:r>
          </w:p>
        </w:tc>
      </w:tr>
      <w:tr>
        <w:tblPrEx>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themeColor="text1"/>
                <w:sz w:val="20"/>
                <w:szCs w:val="20"/>
                <w:lang w:val="en-US" w:eastAsia="zh-CN"/>
              </w:rPr>
            </w:pPr>
            <w:r>
              <w:rPr>
                <w:rFonts w:hint="eastAsia" w:ascii="宋体" w:hAnsi="宋体"/>
                <w:color w:val="000000" w:themeColor="text1"/>
                <w:sz w:val="20"/>
                <w:szCs w:val="20"/>
              </w:rPr>
              <w:t>特种设备：</w:t>
            </w:r>
            <w:r>
              <w:rPr>
                <w:rFonts w:hint="eastAsia" w:ascii="宋体" w:hAnsi="宋体"/>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themeColor="text1"/>
                <w:sz w:val="20"/>
                <w:szCs w:val="20"/>
              </w:rPr>
            </w:pPr>
            <w:r>
              <w:rPr>
                <w:rFonts w:hint="eastAsia" w:ascii="宋体" w:hAnsi="宋体"/>
                <w:color w:val="000000" w:themeColor="text1"/>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themeColor="text1"/>
                <w:sz w:val="20"/>
                <w:szCs w:val="20"/>
                <w:lang w:val="en-US" w:eastAsia="zh-CN"/>
              </w:rPr>
            </w:pPr>
            <w:r>
              <w:rPr>
                <w:rFonts w:hint="eastAsia" w:ascii="宋体"/>
                <w:color w:val="000000" w:themeColor="text1"/>
                <w:sz w:val="20"/>
                <w:szCs w:val="20"/>
              </w:rPr>
              <w:t>监视和测量设备（请简述主要监视和测量设备）：</w:t>
            </w:r>
            <w:r>
              <w:rPr>
                <w:rFonts w:hint="eastAsia" w:ascii="宋体"/>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themeColor="text1"/>
                <w:sz w:val="20"/>
                <w:szCs w:val="20"/>
              </w:rPr>
            </w:pPr>
            <w:r>
              <w:rPr>
                <w:rFonts w:hint="eastAsia" w:ascii="宋体"/>
                <w:color w:val="000000" w:themeColor="text1"/>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重要环境因素有：</w:t>
            </w:r>
            <w:r>
              <w:rPr>
                <w:rFonts w:hint="eastAsia" w:ascii="宋体"/>
                <w:color w:val="000000" w:themeColor="text1"/>
                <w:sz w:val="20"/>
                <w:szCs w:val="20"/>
              </w:rPr>
              <w:t xml:space="preserve"> </w:t>
            </w:r>
            <w:r>
              <w:rPr>
                <w:rFonts w:hint="eastAsia" w:ascii="宋体"/>
                <w:color w:val="auto"/>
                <w:sz w:val="20"/>
                <w:szCs w:val="20"/>
              </w:rPr>
              <w:t>固</w:t>
            </w:r>
            <w:r>
              <w:rPr>
                <w:rFonts w:hint="eastAsia" w:ascii="宋体"/>
                <w:color w:val="auto"/>
                <w:sz w:val="20"/>
                <w:szCs w:val="20"/>
                <w:lang w:val="en-US" w:eastAsia="zh-CN"/>
              </w:rPr>
              <w:t>体</w:t>
            </w:r>
            <w:r>
              <w:rPr>
                <w:rFonts w:hint="eastAsia" w:ascii="宋体"/>
                <w:color w:val="auto"/>
                <w:sz w:val="20"/>
                <w:szCs w:val="20"/>
              </w:rPr>
              <w:t>废</w:t>
            </w:r>
            <w:r>
              <w:rPr>
                <w:rFonts w:hint="eastAsia" w:ascii="宋体"/>
                <w:color w:val="auto"/>
                <w:sz w:val="20"/>
                <w:szCs w:val="20"/>
                <w:lang w:val="en-US" w:eastAsia="zh-CN"/>
              </w:rPr>
              <w:t>弃物的排放</w:t>
            </w:r>
            <w:r>
              <w:rPr>
                <w:rFonts w:hint="eastAsia" w:ascii="宋体"/>
                <w:color w:val="auto"/>
                <w:sz w:val="20"/>
                <w:szCs w:val="20"/>
                <w:lang w:eastAsia="zh-CN"/>
              </w:rPr>
              <w:t>、</w:t>
            </w:r>
            <w:r>
              <w:rPr>
                <w:rFonts w:hint="eastAsia" w:ascii="宋体"/>
                <w:color w:val="auto"/>
                <w:sz w:val="20"/>
                <w:szCs w:val="20"/>
                <w:lang w:val="en-US" w:eastAsia="zh-CN"/>
              </w:rPr>
              <w:t>潜在</w:t>
            </w:r>
            <w:r>
              <w:rPr>
                <w:rFonts w:hint="eastAsia" w:ascii="宋体"/>
                <w:color w:val="auto"/>
                <w:sz w:val="20"/>
                <w:szCs w:val="20"/>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针对重要环境因素建立了运行控制程序：■</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针对重要环境因素是否明确了监视和测量的要求：■</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应急预案有：消防应急预案</w:t>
            </w:r>
            <w:r>
              <w:rPr>
                <w:rFonts w:hint="eastAsia" w:ascii="宋体"/>
                <w:color w:val="000000"/>
                <w:sz w:val="20"/>
                <w:szCs w:val="20"/>
                <w:lang w:eastAsia="zh-CN"/>
              </w:rPr>
              <w:t>、</w:t>
            </w:r>
            <w:r>
              <w:rPr>
                <w:rFonts w:hint="eastAsia" w:ascii="宋体"/>
                <w:color w:val="000000"/>
                <w:sz w:val="20"/>
                <w:szCs w:val="20"/>
              </w:rPr>
              <w:t>触电应急预案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hint="default" w:ascii="宋体" w:hAnsi="Times New Roman" w:eastAsia="宋体" w:cs="Times New Roman"/>
                <w:color w:val="000000"/>
                <w:kern w:val="2"/>
                <w:sz w:val="20"/>
                <w:szCs w:val="20"/>
                <w:lang w:val="en-US" w:eastAsia="zh-CN" w:bidi="ar-SA"/>
              </w:rPr>
            </w:pPr>
            <w:r>
              <w:rPr>
                <w:rFonts w:hint="eastAsia" w:ascii="宋体"/>
                <w:color w:val="000000"/>
                <w:sz w:val="20"/>
                <w:szCs w:val="20"/>
              </w:rPr>
              <w:t>不可接受风险有</w:t>
            </w:r>
            <w:r>
              <w:rPr>
                <w:rFonts w:hint="eastAsia" w:ascii="宋体"/>
                <w:color w:val="auto"/>
                <w:sz w:val="20"/>
                <w:szCs w:val="20"/>
              </w:rPr>
              <w:t>：</w:t>
            </w:r>
            <w:r>
              <w:rPr>
                <w:rFonts w:hint="eastAsia" w:ascii="宋体" w:hAnsi="宋体"/>
                <w:color w:val="auto"/>
                <w:sz w:val="21"/>
                <w:szCs w:val="21"/>
              </w:rPr>
              <w:t>潜在火灾、</w:t>
            </w:r>
            <w:r>
              <w:rPr>
                <w:rFonts w:hint="eastAsia" w:ascii="宋体" w:hAnsi="宋体"/>
                <w:color w:val="auto"/>
                <w:sz w:val="21"/>
                <w:szCs w:val="21"/>
                <w:lang w:val="en-US" w:eastAsia="zh-CN"/>
              </w:rPr>
              <w:t>触电、传染病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针对不可接受风险建立了运行控制程序：■</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针对不可接受风险是否明确了监视和测量的要求：■</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重点审核部门：行政人事部、业务部</w:t>
            </w:r>
          </w:p>
          <w:p>
            <w:pPr>
              <w:spacing w:line="260" w:lineRule="exact"/>
              <w:rPr>
                <w:rFonts w:ascii="宋体"/>
                <w:b/>
                <w:color w:val="000000"/>
                <w:sz w:val="20"/>
                <w:szCs w:val="20"/>
              </w:rPr>
            </w:pPr>
            <w:r>
              <w:rPr>
                <w:rFonts w:hint="eastAsia" w:ascii="宋体" w:hAnsi="宋体"/>
                <w:b/>
                <w:color w:val="000000"/>
                <w:sz w:val="20"/>
                <w:szCs w:val="20"/>
              </w:rPr>
              <w:t>重点审核场所：办公区域</w:t>
            </w:r>
            <w:r>
              <w:rPr>
                <w:rFonts w:hint="eastAsia" w:ascii="宋体" w:hAnsi="宋体"/>
                <w:b/>
                <w:color w:val="000000"/>
                <w:sz w:val="20"/>
                <w:szCs w:val="20"/>
                <w:lang w:val="en-US" w:eastAsia="zh-CN"/>
              </w:rPr>
              <w:t>及经营场所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重点审核部门：行政人事部、业务部</w:t>
            </w:r>
          </w:p>
          <w:p>
            <w:pPr>
              <w:spacing w:line="260" w:lineRule="exact"/>
              <w:rPr>
                <w:rFonts w:ascii="宋体"/>
                <w:b/>
                <w:color w:val="000000"/>
                <w:sz w:val="20"/>
                <w:szCs w:val="20"/>
              </w:rPr>
            </w:pPr>
            <w:r>
              <w:rPr>
                <w:rFonts w:hint="eastAsia" w:ascii="宋体" w:hAnsi="宋体"/>
                <w:b/>
                <w:color w:val="000000"/>
                <w:sz w:val="20"/>
                <w:szCs w:val="20"/>
              </w:rPr>
              <w:t>重点审核场所：办公区域</w:t>
            </w:r>
            <w:r>
              <w:rPr>
                <w:rFonts w:hint="eastAsia" w:ascii="宋体" w:hAnsi="宋体"/>
                <w:b/>
                <w:color w:val="000000"/>
                <w:sz w:val="20"/>
                <w:szCs w:val="20"/>
                <w:lang w:val="en-US" w:eastAsia="zh-CN"/>
              </w:rPr>
              <w:t>及经营场所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themeColor="text1"/>
                <w:sz w:val="21"/>
                <w:szCs w:val="21"/>
              </w:rPr>
            </w:pPr>
            <w:r>
              <w:rPr>
                <w:rFonts w:hint="eastAsia" w:ascii="宋体" w:hAnsi="宋体"/>
                <w:b/>
                <w:color w:val="000000" w:themeColor="text1"/>
                <w:sz w:val="21"/>
                <w:szCs w:val="21"/>
              </w:rPr>
              <w:t>内部审核</w:t>
            </w:r>
          </w:p>
        </w:tc>
        <w:tc>
          <w:tcPr>
            <w:tcW w:w="8221" w:type="dxa"/>
          </w:tcPr>
          <w:p>
            <w:pPr>
              <w:spacing w:line="260" w:lineRule="exact"/>
              <w:rPr>
                <w:rFonts w:ascii="宋体" w:hAnsi="宋体"/>
                <w:b/>
                <w:color w:val="000000" w:themeColor="text1"/>
                <w:sz w:val="21"/>
                <w:szCs w:val="21"/>
              </w:rPr>
            </w:pPr>
            <w:r>
              <w:rPr>
                <w:rFonts w:hint="eastAsia" w:ascii="宋体" w:hAnsi="宋体"/>
                <w:b/>
                <w:color w:val="000000" w:themeColor="text1"/>
                <w:sz w:val="21"/>
                <w:szCs w:val="21"/>
              </w:rPr>
              <w:t>了解内审的策划</w:t>
            </w:r>
            <w:r>
              <w:rPr>
                <w:rFonts w:ascii="宋体" w:hAnsi="宋体"/>
                <w:b/>
                <w:color w:val="000000" w:themeColor="text1"/>
                <w:sz w:val="21"/>
                <w:szCs w:val="21"/>
              </w:rPr>
              <w:t xml:space="preserve">; </w:t>
            </w:r>
          </w:p>
          <w:p>
            <w:pPr>
              <w:spacing w:line="260" w:lineRule="exact"/>
              <w:rPr>
                <w:rFonts w:ascii="宋体"/>
                <w:b/>
                <w:color w:val="000000" w:themeColor="text1"/>
                <w:sz w:val="21"/>
                <w:szCs w:val="21"/>
              </w:rPr>
            </w:pPr>
            <w:r>
              <w:rPr>
                <w:rFonts w:hint="eastAsia" w:ascii="宋体" w:hAnsi="宋体"/>
                <w:color w:val="000000" w:themeColor="text1"/>
                <w:sz w:val="21"/>
                <w:szCs w:val="21"/>
              </w:rPr>
              <w:t>建立有《内部审核控制程</w:t>
            </w:r>
            <w:r>
              <w:rPr>
                <w:rFonts w:hint="eastAsia" w:ascii="宋体" w:hAnsi="宋体" w:cs="Times New Roman"/>
                <w:color w:val="000000" w:themeColor="text1"/>
                <w:sz w:val="21"/>
                <w:szCs w:val="21"/>
              </w:rPr>
              <w:t>序》，于2020年11月15日至11月16日进行了内部审核。内部审核组组成：审核组长：蒋慧    组员：蒋清华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FF0000"/>
                <w:sz w:val="21"/>
                <w:szCs w:val="21"/>
              </w:rPr>
            </w:pPr>
          </w:p>
        </w:tc>
        <w:tc>
          <w:tcPr>
            <w:tcW w:w="8221" w:type="dxa"/>
          </w:tcPr>
          <w:p>
            <w:pPr>
              <w:spacing w:line="260" w:lineRule="exact"/>
              <w:rPr>
                <w:color w:val="000000" w:themeColor="text1"/>
                <w:sz w:val="21"/>
                <w:szCs w:val="21"/>
              </w:rPr>
            </w:pPr>
            <w:r>
              <w:rPr>
                <w:rFonts w:hint="eastAsia"/>
                <w:color w:val="000000" w:themeColor="text1"/>
                <w:sz w:val="21"/>
                <w:szCs w:val="21"/>
              </w:rPr>
              <w:t>了解内审是否覆盖了管理体系范围内的活动及标准的要求; （1）审核范围：与本公司质量管理体系有关的所有部门、活动和人员</w:t>
            </w:r>
          </w:p>
          <w:p>
            <w:pPr>
              <w:spacing w:line="260" w:lineRule="exact"/>
              <w:rPr>
                <w:color w:val="000000" w:themeColor="text1"/>
                <w:sz w:val="21"/>
                <w:szCs w:val="21"/>
              </w:rPr>
            </w:pPr>
            <w:r>
              <w:rPr>
                <w:rFonts w:hint="eastAsia"/>
                <w:color w:val="000000" w:themeColor="text1"/>
                <w:sz w:val="21"/>
                <w:szCs w:val="21"/>
              </w:rPr>
              <w:t>（2）审核准则：GB/T24001-2016、ISO45001-2018标准，整合型手册、程序文件、适用的法律法规、相关方要求等。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276" w:type="dxa"/>
            <w:vMerge w:val="continue"/>
          </w:tcPr>
          <w:p>
            <w:pPr>
              <w:spacing w:line="260" w:lineRule="exact"/>
              <w:rPr>
                <w:rFonts w:ascii="宋体"/>
                <w:b/>
                <w:color w:val="FF0000"/>
                <w:sz w:val="21"/>
                <w:szCs w:val="21"/>
              </w:rPr>
            </w:pPr>
          </w:p>
        </w:tc>
        <w:tc>
          <w:tcPr>
            <w:tcW w:w="8221" w:type="dxa"/>
          </w:tcPr>
          <w:p>
            <w:pPr>
              <w:spacing w:line="260" w:lineRule="exact"/>
              <w:rPr>
                <w:rFonts w:ascii="宋体" w:hAnsi="宋体"/>
                <w:b/>
                <w:color w:val="000000" w:themeColor="text1"/>
                <w:sz w:val="21"/>
                <w:szCs w:val="21"/>
              </w:rPr>
            </w:pPr>
            <w:r>
              <w:rPr>
                <w:rFonts w:hint="eastAsia" w:ascii="宋体" w:hAnsi="宋体"/>
                <w:b/>
                <w:color w:val="000000" w:themeColor="text1"/>
                <w:sz w:val="21"/>
                <w:szCs w:val="21"/>
              </w:rPr>
              <w:t>了解内审结论是什么？</w:t>
            </w:r>
          </w:p>
          <w:p>
            <w:pPr>
              <w:spacing w:line="260" w:lineRule="exact"/>
              <w:rPr>
                <w:rFonts w:ascii="宋体" w:hAnsi="宋体"/>
                <w:b/>
                <w:color w:val="000000" w:themeColor="text1"/>
                <w:sz w:val="21"/>
                <w:szCs w:val="21"/>
              </w:rPr>
            </w:pPr>
            <w:r>
              <w:rPr>
                <w:rFonts w:hint="eastAsia"/>
                <w:color w:val="000000" w:themeColor="text1"/>
                <w:sz w:val="21"/>
                <w:szCs w:val="21"/>
              </w:rPr>
              <w:t>公司管理体系符合标准和公司管理体系规定，得到了有效实施与保持的信息。 环境、职业健康安全体系的运行基本有效。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themeColor="text1"/>
                <w:sz w:val="21"/>
                <w:szCs w:val="21"/>
              </w:rPr>
            </w:pPr>
            <w:r>
              <w:rPr>
                <w:rFonts w:hint="eastAsia" w:ascii="宋体" w:hAnsi="宋体"/>
                <w:b/>
                <w:color w:val="000000" w:themeColor="text1"/>
                <w:sz w:val="21"/>
                <w:szCs w:val="21"/>
              </w:rPr>
              <w:t>管理评审</w:t>
            </w:r>
          </w:p>
        </w:tc>
        <w:tc>
          <w:tcPr>
            <w:tcW w:w="8221" w:type="dxa"/>
          </w:tcPr>
          <w:p>
            <w:pPr>
              <w:spacing w:line="260" w:lineRule="exact"/>
              <w:rPr>
                <w:rFonts w:ascii="宋体"/>
                <w:b/>
                <w:color w:val="000000" w:themeColor="text1"/>
                <w:sz w:val="21"/>
                <w:szCs w:val="21"/>
              </w:rPr>
            </w:pPr>
            <w:r>
              <w:rPr>
                <w:rFonts w:hint="eastAsia" w:ascii="宋体" w:hAnsi="宋体"/>
                <w:b/>
                <w:color w:val="000000" w:themeColor="text1"/>
                <w:sz w:val="21"/>
                <w:szCs w:val="21"/>
              </w:rPr>
              <w:t>了解管理评审的策划</w:t>
            </w:r>
            <w:r>
              <w:rPr>
                <w:rFonts w:ascii="宋体" w:hAnsi="宋体"/>
                <w:b/>
                <w:color w:val="000000" w:themeColor="text1"/>
                <w:sz w:val="21"/>
                <w:szCs w:val="21"/>
              </w:rPr>
              <w:t xml:space="preserve">; </w:t>
            </w:r>
            <w:r>
              <w:rPr>
                <w:rFonts w:hint="eastAsia"/>
                <w:color w:val="000000" w:themeColor="text1"/>
                <w:sz w:val="21"/>
                <w:szCs w:val="21"/>
              </w:rPr>
              <w:t>建立有《管理评审控制程序》，于</w:t>
            </w:r>
            <w:r>
              <w:rPr>
                <w:rFonts w:hint="eastAsia" w:ascii="Times New Roman" w:hAnsi="Times New Roman" w:cs="Times New Roman"/>
                <w:color w:val="000000" w:themeColor="text1"/>
                <w:sz w:val="21"/>
                <w:szCs w:val="21"/>
              </w:rPr>
              <w:t>2020年12月5日由总经理主持就管理方针和目标，评价和审定管理体系运行的适宜性、充分性和有效性进</w:t>
            </w:r>
            <w:r>
              <w:rPr>
                <w:rFonts w:hint="eastAsia"/>
                <w:color w:val="000000" w:themeColor="text1"/>
                <w:sz w:val="21"/>
                <w:szCs w:val="21"/>
              </w:rPr>
              <w:t>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themeColor="text1"/>
                <w:sz w:val="21"/>
                <w:szCs w:val="21"/>
              </w:rPr>
            </w:pPr>
          </w:p>
        </w:tc>
        <w:tc>
          <w:tcPr>
            <w:tcW w:w="8221" w:type="dxa"/>
          </w:tcPr>
          <w:p>
            <w:pPr>
              <w:spacing w:line="260" w:lineRule="exact"/>
              <w:rPr>
                <w:rFonts w:ascii="宋体"/>
                <w:b/>
                <w:color w:val="000000" w:themeColor="text1"/>
                <w:sz w:val="21"/>
                <w:szCs w:val="21"/>
              </w:rPr>
            </w:pPr>
            <w:r>
              <w:rPr>
                <w:rFonts w:hint="eastAsia" w:ascii="宋体" w:hAnsi="宋体"/>
                <w:b/>
                <w:color w:val="000000" w:themeColor="text1"/>
                <w:sz w:val="21"/>
                <w:szCs w:val="21"/>
              </w:rPr>
              <w:t>了解管理评审输入是否充分</w:t>
            </w:r>
            <w:r>
              <w:rPr>
                <w:rFonts w:ascii="宋体" w:hAnsi="宋体"/>
                <w:b/>
                <w:color w:val="000000" w:themeColor="text1"/>
                <w:sz w:val="21"/>
                <w:szCs w:val="21"/>
              </w:rPr>
              <w:t xml:space="preserve">; </w:t>
            </w:r>
            <w:r>
              <w:rPr>
                <w:rFonts w:hint="eastAsia" w:ascii="宋体" w:hAnsi="宋体"/>
                <w:color w:val="000000" w:themeColor="text1"/>
                <w:kern w:val="0"/>
                <w:sz w:val="21"/>
                <w:szCs w:val="21"/>
              </w:rPr>
              <w:t>提供主要输入材料有：各部门总结，</w:t>
            </w:r>
            <w:r>
              <w:rPr>
                <w:rFonts w:hint="eastAsia" w:ascii="宋体"/>
                <w:color w:val="000000" w:themeColor="text1"/>
                <w:kern w:val="0"/>
                <w:sz w:val="21"/>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themeColor="text1"/>
                <w:sz w:val="21"/>
                <w:szCs w:val="21"/>
              </w:rPr>
            </w:pPr>
          </w:p>
        </w:tc>
        <w:tc>
          <w:tcPr>
            <w:tcW w:w="8221" w:type="dxa"/>
          </w:tcPr>
          <w:p>
            <w:pPr>
              <w:spacing w:line="260" w:lineRule="exact"/>
              <w:rPr>
                <w:rFonts w:ascii="宋体"/>
                <w:b/>
                <w:color w:val="000000" w:themeColor="text1"/>
                <w:sz w:val="21"/>
                <w:szCs w:val="21"/>
              </w:rPr>
            </w:pPr>
            <w:r>
              <w:rPr>
                <w:rFonts w:hint="eastAsia" w:ascii="宋体" w:hAnsi="宋体"/>
                <w:b/>
                <w:color w:val="000000" w:themeColor="text1"/>
                <w:sz w:val="21"/>
                <w:szCs w:val="21"/>
              </w:rPr>
              <w:t>了解管理评审结论</w:t>
            </w:r>
            <w:r>
              <w:rPr>
                <w:rFonts w:ascii="宋体" w:hAnsi="宋体"/>
                <w:b/>
                <w:color w:val="000000" w:themeColor="text1"/>
                <w:sz w:val="21"/>
                <w:szCs w:val="21"/>
              </w:rPr>
              <w:t xml:space="preserve">; </w:t>
            </w:r>
            <w:r>
              <w:rPr>
                <w:rFonts w:hint="eastAsia"/>
                <w:color w:val="000000" w:themeColor="text1"/>
                <w:sz w:val="21"/>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497" w:type="dxa"/>
            <w:gridSpan w:val="2"/>
          </w:tcPr>
          <w:p>
            <w:pPr>
              <w:widowControl/>
              <w:jc w:val="left"/>
              <w:rPr>
                <w:rFonts w:ascii="宋体"/>
                <w:b/>
                <w:color w:val="000000" w:themeColor="text1"/>
                <w:sz w:val="21"/>
                <w:szCs w:val="21"/>
              </w:rPr>
            </w:pPr>
            <w:r>
              <w:rPr>
                <w:rFonts w:hint="eastAsia" w:ascii="宋体" w:hAnsi="宋体"/>
                <w:b/>
                <w:color w:val="000000" w:themeColor="text1"/>
                <w:sz w:val="21"/>
                <w:szCs w:val="21"/>
              </w:rPr>
              <w:t>评价受审核方对内审和管理评审的关注情况，是否已为二阶段审核做好准备</w:t>
            </w:r>
            <w:r>
              <w:rPr>
                <w:rFonts w:ascii="宋体" w:hAnsi="宋体"/>
                <w:b/>
                <w:color w:val="000000" w:themeColor="text1"/>
                <w:sz w:val="21"/>
                <w:szCs w:val="21"/>
              </w:rPr>
              <w:t xml:space="preserve">: </w:t>
            </w:r>
            <w:r>
              <w:rPr>
                <w:rFonts w:hint="eastAsia" w:ascii="宋体"/>
                <w:b/>
                <w:color w:val="000000" w:themeColor="text1"/>
                <w:sz w:val="21"/>
                <w:szCs w:val="21"/>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eastAsia="宋体" w:cs="宋体"/>
                <w:color w:val="00000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z w:val="20"/>
                <w:szCs w:val="20"/>
                <w:lang w:eastAsia="zh-CN"/>
              </w:rPr>
              <w:t>■</w:t>
            </w:r>
            <w:r>
              <w:rPr>
                <w:rFonts w:ascii="宋体" w:hAnsi="宋体"/>
                <w:b/>
                <w:color w:val="000000"/>
                <w:sz w:val="20"/>
                <w:szCs w:val="20"/>
              </w:rPr>
              <w:t>EMS/</w:t>
            </w:r>
            <w:r>
              <w:rPr>
                <w:rFonts w:hint="eastAsia" w:ascii="宋体" w:hAnsi="宋体"/>
                <w:b/>
                <w:color w:val="000000"/>
                <w:sz w:val="20"/>
                <w:szCs w:val="20"/>
                <w:lang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hint="eastAsia" w:ascii="宋体" w:hAnsi="宋体"/>
          <w:szCs w:val="21"/>
          <w:u w:val="single"/>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w:t>
      </w:r>
      <w:r>
        <w:rPr>
          <w:rFonts w:hint="eastAsia" w:ascii="宋体" w:hAnsi="宋体"/>
          <w:szCs w:val="21"/>
          <w:u w:val="single"/>
        </w:rPr>
        <w:t>病人陪护服务（不含诊疗）所涉及场所的相关环境管理活动</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w:t>
      </w:r>
      <w:r>
        <w:rPr>
          <w:rFonts w:hint="eastAsia" w:ascii="宋体" w:hAnsi="宋体"/>
          <w:szCs w:val="21"/>
          <w:u w:val="single"/>
        </w:rPr>
        <w:t>病人陪护服务（不含诊疗）所涉及场所的相关职业健康安全管理活动</w:t>
      </w: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70528" behindDoc="0" locked="0" layoutInCell="1" allowOverlap="1">
            <wp:simplePos x="0" y="0"/>
            <wp:positionH relativeFrom="column">
              <wp:posOffset>1760855</wp:posOffset>
            </wp:positionH>
            <wp:positionV relativeFrom="paragraph">
              <wp:posOffset>339090</wp:posOffset>
            </wp:positionV>
            <wp:extent cx="329565" cy="285115"/>
            <wp:effectExtent l="0" t="0" r="5715" b="4445"/>
            <wp:wrapNone/>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pic:cNvPicPr>
                      <a:picLocks noChangeAspect="1"/>
                    </pic:cNvPicPr>
                  </pic:nvPicPr>
                  <pic:blipFill>
                    <a:blip r:embed="rId6"/>
                    <a:stretch>
                      <a:fillRect/>
                    </a:stretch>
                  </pic:blipFill>
                  <pic:spPr>
                    <a:xfrm>
                      <a:off x="0" y="0"/>
                      <a:ext cx="329565" cy="28511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hint="eastAsia" w:ascii="宋体" w:hAnsi="宋体"/>
          <w:b/>
          <w:color w:val="000000"/>
        </w:rPr>
      </w:pPr>
      <w:r>
        <w:rPr>
          <w:rFonts w:hint="eastAsia" w:ascii="宋体" w:hAnsi="宋体" w:eastAsia="宋体" w:cs="Times New Roman"/>
          <w:kern w:val="2"/>
          <w:sz w:val="21"/>
          <w:szCs w:val="22"/>
          <w:lang w:val="en-US" w:eastAsia="zh-CN" w:bidi="ar-SA"/>
        </w:rPr>
        <w:drawing>
          <wp:anchor distT="0" distB="0" distL="114300" distR="114300" simplePos="0" relativeHeight="251777024" behindDoc="0" locked="0" layoutInCell="1" allowOverlap="1">
            <wp:simplePos x="0" y="0"/>
            <wp:positionH relativeFrom="column">
              <wp:posOffset>2990850</wp:posOffset>
            </wp:positionH>
            <wp:positionV relativeFrom="paragraph">
              <wp:posOffset>209550</wp:posOffset>
            </wp:positionV>
            <wp:extent cx="636905" cy="370205"/>
            <wp:effectExtent l="0" t="0" r="3175" b="10795"/>
            <wp:wrapNone/>
            <wp:docPr id="6" name="图片 6" descr="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99"/>
                    <pic:cNvPicPr>
                      <a:picLocks noChangeAspect="1"/>
                    </pic:cNvPicPr>
                  </pic:nvPicPr>
                  <pic:blipFill>
                    <a:blip r:embed="rId7"/>
                    <a:stretch>
                      <a:fillRect/>
                    </a:stretch>
                  </pic:blipFill>
                  <pic:spPr>
                    <a:xfrm>
                      <a:off x="0" y="0"/>
                      <a:ext cx="636905" cy="370205"/>
                    </a:xfrm>
                    <a:prstGeom prst="rect">
                      <a:avLst/>
                    </a:prstGeom>
                    <a:noFill/>
                    <a:ln>
                      <a:noFill/>
                    </a:ln>
                  </pic:spPr>
                </pic:pic>
              </a:graphicData>
            </a:graphic>
          </wp:anchor>
        </w:drawing>
      </w:r>
      <w:r>
        <w:drawing>
          <wp:anchor distT="0" distB="0" distL="114300" distR="114300" simplePos="0" relativeHeight="251730944" behindDoc="0" locked="0" layoutInCell="1" allowOverlap="1">
            <wp:simplePos x="0" y="0"/>
            <wp:positionH relativeFrom="column">
              <wp:posOffset>2294890</wp:posOffset>
            </wp:positionH>
            <wp:positionV relativeFrom="paragraph">
              <wp:posOffset>161925</wp:posOffset>
            </wp:positionV>
            <wp:extent cx="590550" cy="428625"/>
            <wp:effectExtent l="0" t="0" r="3810" b="13335"/>
            <wp:wrapNone/>
            <wp:docPr id="4"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24309\AppData\Local\Temp\WeChat Files\5990baca09647c352f1321b31faa90a.jpg"/>
                    <pic:cNvPicPr>
                      <a:picLocks noChangeAspect="1"/>
                    </pic:cNvPicPr>
                  </pic:nvPicPr>
                  <pic:blipFill>
                    <a:blip r:embed="rId8"/>
                    <a:stretch>
                      <a:fillRect/>
                    </a:stretch>
                  </pic:blipFill>
                  <pic:spPr>
                    <a:xfrm>
                      <a:off x="0" y="0"/>
                      <a:ext cx="590550" cy="428625"/>
                    </a:xfrm>
                    <a:prstGeom prst="rect">
                      <a:avLst/>
                    </a:prstGeom>
                    <a:noFill/>
                    <a:ln>
                      <a:noFill/>
                    </a:ln>
                  </pic:spPr>
                </pic:pic>
              </a:graphicData>
            </a:graphic>
          </wp:anchor>
        </w:drawing>
      </w:r>
      <w:r>
        <w:drawing>
          <wp:anchor distT="0" distB="0" distL="114300" distR="114300" simplePos="0" relativeHeight="251702272" behindDoc="0" locked="0" layoutInCell="1" allowOverlap="1">
            <wp:simplePos x="0" y="0"/>
            <wp:positionH relativeFrom="column">
              <wp:posOffset>1767840</wp:posOffset>
            </wp:positionH>
            <wp:positionV relativeFrom="paragraph">
              <wp:posOffset>243840</wp:posOffset>
            </wp:positionV>
            <wp:extent cx="474345" cy="332740"/>
            <wp:effectExtent l="0" t="0" r="13335" b="2540"/>
            <wp:wrapNone/>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9"/>
                    <a:stretch>
                      <a:fillRect/>
                    </a:stretch>
                  </pic:blipFill>
                  <pic:spPr>
                    <a:xfrm>
                      <a:off x="0" y="0"/>
                      <a:ext cx="474345" cy="332740"/>
                    </a:xfrm>
                    <a:prstGeom prst="rect">
                      <a:avLst/>
                    </a:prstGeom>
                    <a:noFill/>
                    <a:ln>
                      <a:noFill/>
                    </a:ln>
                  </pic:spPr>
                </pic:pic>
              </a:graphicData>
            </a:graphic>
          </wp:anchor>
        </w:drawing>
      </w:r>
    </w:p>
    <w:p>
      <w:pPr>
        <w:spacing w:line="400" w:lineRule="exact"/>
        <w:ind w:firstLine="843" w:firstLineChars="400"/>
        <w:rPr>
          <w:rFonts w:hint="eastAsia" w:ascii="宋体" w:eastAsia="宋体"/>
          <w:b/>
          <w:color w:val="000000"/>
          <w:lang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eastAsia="宋体"/>
          <w:b/>
          <w:color w:val="000000"/>
          <w:lang w:eastAsia="zh-CN"/>
        </w:rPr>
        <w:drawing>
          <wp:inline distT="0" distB="0" distL="114300" distR="114300">
            <wp:extent cx="2057400" cy="952500"/>
            <wp:effectExtent l="0" t="0" r="0" b="0"/>
            <wp:docPr id="9" name="图片 9" descr="9d2f433f3e9dc4e77291ba17bcc6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9d2f433f3e9dc4e77291ba17bcc6909"/>
                    <pic:cNvPicPr>
                      <a:picLocks noChangeAspect="1"/>
                    </pic:cNvPicPr>
                  </pic:nvPicPr>
                  <pic:blipFill>
                    <a:blip r:embed="rId10"/>
                    <a:stretch>
                      <a:fillRect/>
                    </a:stretch>
                  </pic:blipFill>
                  <pic:spPr>
                    <a:xfrm>
                      <a:off x="0" y="0"/>
                      <a:ext cx="2057400" cy="952500"/>
                    </a:xfrm>
                    <a:prstGeom prst="rect">
                      <a:avLst/>
                    </a:prstGeom>
                  </pic:spPr>
                </pic:pic>
              </a:graphicData>
            </a:graphic>
          </wp:inline>
        </w:drawing>
      </w:r>
    </w:p>
    <w:p>
      <w:pPr>
        <w:spacing w:line="360" w:lineRule="exact"/>
        <w:ind w:firstLine="843" w:firstLineChars="400"/>
        <w:rPr>
          <w:rFonts w:ascii="宋体"/>
          <w:b/>
          <w:color w:val="000000"/>
        </w:rPr>
      </w:pPr>
      <w:r>
        <w:rPr>
          <w:rFonts w:hint="eastAsia" w:ascii="宋体" w:eastAsia="宋体"/>
          <w:b/>
          <w:color w:val="000000"/>
          <w:lang w:eastAsia="zh-CN"/>
        </w:rPr>
        <w:drawing>
          <wp:anchor distT="0" distB="0" distL="114300" distR="114300" simplePos="0" relativeHeight="251924480" behindDoc="0" locked="0" layoutInCell="1" allowOverlap="1">
            <wp:simplePos x="0" y="0"/>
            <wp:positionH relativeFrom="column">
              <wp:posOffset>2358390</wp:posOffset>
            </wp:positionH>
            <wp:positionV relativeFrom="paragraph">
              <wp:posOffset>45720</wp:posOffset>
            </wp:positionV>
            <wp:extent cx="805815" cy="371475"/>
            <wp:effectExtent l="0" t="0" r="0" b="0"/>
            <wp:wrapNone/>
            <wp:docPr id="10" name="图片 10" descr="9d2f433f3e9dc4e77291ba17bcc6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9d2f433f3e9dc4e77291ba17bcc6909"/>
                    <pic:cNvPicPr>
                      <a:picLocks noChangeAspect="1"/>
                    </pic:cNvPicPr>
                  </pic:nvPicPr>
                  <pic:blipFill>
                    <a:blip r:embed="rId10"/>
                    <a:stretch>
                      <a:fillRect/>
                    </a:stretch>
                  </pic:blipFill>
                  <pic:spPr>
                    <a:xfrm>
                      <a:off x="0" y="0"/>
                      <a:ext cx="805815" cy="371475"/>
                    </a:xfrm>
                    <a:prstGeom prst="rect">
                      <a:avLst/>
                    </a:prstGeom>
                  </pic:spPr>
                </pic:pic>
              </a:graphicData>
            </a:graphic>
          </wp:anchor>
        </w:drawing>
      </w:r>
      <w:r>
        <w:rPr>
          <w:rFonts w:hint="eastAsia"/>
        </w:rPr>
        <w:drawing>
          <wp:anchor distT="0" distB="0" distL="114300" distR="114300" simplePos="0" relativeHeight="251742208" behindDoc="0" locked="0" layoutInCell="1" allowOverlap="1">
            <wp:simplePos x="0" y="0"/>
            <wp:positionH relativeFrom="column">
              <wp:posOffset>1816735</wp:posOffset>
            </wp:positionH>
            <wp:positionV relativeFrom="paragraph">
              <wp:posOffset>121285</wp:posOffset>
            </wp:positionV>
            <wp:extent cx="544830" cy="248920"/>
            <wp:effectExtent l="0" t="0" r="3810" b="10160"/>
            <wp:wrapNone/>
            <wp:docPr id="5"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87ac17c702f787ebcb7b5ad453f94b0"/>
                    <pic:cNvPicPr>
                      <a:picLocks noChangeAspect="1"/>
                    </pic:cNvPicPr>
                  </pic:nvPicPr>
                  <pic:blipFill>
                    <a:blip r:embed="rId11"/>
                    <a:stretch>
                      <a:fillRect/>
                    </a:stretch>
                  </pic:blipFill>
                  <pic:spPr>
                    <a:xfrm>
                      <a:off x="0" y="0"/>
                      <a:ext cx="544830" cy="248920"/>
                    </a:xfrm>
                    <a:prstGeom prst="rect">
                      <a:avLst/>
                    </a:prstGeom>
                    <a:noFill/>
                    <a:ln>
                      <a:noFill/>
                    </a:ln>
                  </pic:spPr>
                </pic:pic>
              </a:graphicData>
            </a:graphic>
          </wp:anchor>
        </w:drawing>
      </w: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2020年12月28日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bookmarkStart w:id="25" w:name="_GoBack"/>
      <w:bookmarkEnd w:id="25"/>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r>
              <w:drawing>
                <wp:anchor distT="0" distB="0" distL="114300" distR="114300" simplePos="0" relativeHeight="251790336" behindDoc="0" locked="0" layoutInCell="1" allowOverlap="1">
                  <wp:simplePos x="0" y="0"/>
                  <wp:positionH relativeFrom="column">
                    <wp:posOffset>675640</wp:posOffset>
                  </wp:positionH>
                  <wp:positionV relativeFrom="paragraph">
                    <wp:posOffset>16510</wp:posOffset>
                  </wp:positionV>
                  <wp:extent cx="352425" cy="274320"/>
                  <wp:effectExtent l="0" t="0" r="13335" b="0"/>
                  <wp:wrapNone/>
                  <wp:docPr id="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3"/>
                          <pic:cNvPicPr>
                            <a:picLocks noChangeAspect="1"/>
                          </pic:cNvPicPr>
                        </pic:nvPicPr>
                        <pic:blipFill>
                          <a:blip r:embed="rId6"/>
                          <a:stretch>
                            <a:fillRect/>
                          </a:stretch>
                        </pic:blipFill>
                        <pic:spPr>
                          <a:xfrm>
                            <a:off x="0" y="0"/>
                            <a:ext cx="352425" cy="274320"/>
                          </a:xfrm>
                          <a:prstGeom prst="rect">
                            <a:avLst/>
                          </a:prstGeom>
                          <a:noFill/>
                          <a:ln>
                            <a:noFill/>
                          </a:ln>
                        </pic:spPr>
                      </pic:pic>
                    </a:graphicData>
                  </a:graphic>
                </wp:anchor>
              </w:drawing>
            </w:r>
            <w:r>
              <w:rPr>
                <w:rFonts w:hint="eastAsia"/>
                <w:b/>
                <w:color w:val="000000"/>
                <w:sz w:val="22"/>
                <w:szCs w:val="22"/>
              </w:rPr>
              <w:t>审核员：</w:t>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 xml:space="preserve">日期：   </w:t>
            </w:r>
            <w:r>
              <w:rPr>
                <w:rFonts w:hint="eastAsia" w:ascii="宋体" w:hAnsi="宋体"/>
                <w:b/>
                <w:color w:val="000000"/>
                <w:lang w:val="en-US" w:eastAsia="zh-CN"/>
              </w:rPr>
              <w:t>2020年12月28日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b/>
                <w:color w:val="000000"/>
                <w:sz w:val="22"/>
                <w:szCs w:val="22"/>
              </w:rPr>
            </w:pPr>
          </w:p>
          <w:p>
            <w:pPr>
              <w:spacing w:line="280" w:lineRule="exact"/>
              <w:rPr>
                <w:rFonts w:hint="eastAsia" w:ascii="宋体" w:hAnsi="宋体"/>
                <w:b/>
                <w:color w:val="000000"/>
                <w:lang w:val="en-US" w:eastAsia="zh-CN"/>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 xml:space="preserve"> 日期：</w:t>
            </w:r>
            <w:r>
              <w:rPr>
                <w:rFonts w:hint="eastAsia" w:ascii="宋体" w:hAnsi="宋体"/>
                <w:b/>
                <w:color w:val="000000"/>
                <w:lang w:val="en-US" w:eastAsia="zh-CN"/>
              </w:rPr>
              <w:t>2020年12月28日</w:t>
            </w:r>
          </w:p>
          <w:p>
            <w:pPr>
              <w:spacing w:line="280" w:lineRule="exact"/>
              <w:rPr>
                <w:rFonts w:hint="eastAsia" w:ascii="宋体" w:hAnsi="宋体"/>
                <w:b/>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eastAsia" w:ascii="宋体" w:hAnsi="宋体"/>
                <w:b/>
                <w:color w:val="000000"/>
                <w:lang w:val="en-US" w:eastAsia="zh-CN"/>
              </w:rPr>
            </w:pPr>
            <w:r>
              <w:drawing>
                <wp:anchor distT="0" distB="0" distL="114300" distR="114300" simplePos="0" relativeHeight="251923456" behindDoc="0" locked="0" layoutInCell="1" allowOverlap="1">
                  <wp:simplePos x="0" y="0"/>
                  <wp:positionH relativeFrom="column">
                    <wp:posOffset>681990</wp:posOffset>
                  </wp:positionH>
                  <wp:positionV relativeFrom="paragraph">
                    <wp:posOffset>39370</wp:posOffset>
                  </wp:positionV>
                  <wp:extent cx="352425" cy="274320"/>
                  <wp:effectExtent l="0" t="0" r="13335" b="0"/>
                  <wp:wrapNone/>
                  <wp:docPr id="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3"/>
                          <pic:cNvPicPr>
                            <a:picLocks noChangeAspect="1"/>
                          </pic:cNvPicPr>
                        </pic:nvPicPr>
                        <pic:blipFill>
                          <a:blip r:embed="rId6"/>
                          <a:stretch>
                            <a:fillRect/>
                          </a:stretch>
                        </pic:blipFill>
                        <pic:spPr>
                          <a:xfrm>
                            <a:off x="0" y="0"/>
                            <a:ext cx="352425" cy="274320"/>
                          </a:xfrm>
                          <a:prstGeom prst="rect">
                            <a:avLst/>
                          </a:prstGeom>
                          <a:noFill/>
                          <a:ln>
                            <a:noFill/>
                          </a:ln>
                        </pic:spPr>
                      </pic:pic>
                    </a:graphicData>
                  </a:graphic>
                </wp:anchor>
              </w:drawing>
            </w: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ascii="宋体" w:hAnsi="宋体"/>
                <w:b/>
                <w:color w:val="000000"/>
                <w:lang w:val="en-US" w:eastAsia="zh-CN"/>
              </w:rPr>
              <w:t>2020年12月28日</w:t>
            </w:r>
          </w:p>
          <w:p>
            <w:pPr>
              <w:spacing w:line="280" w:lineRule="exact"/>
              <w:rPr>
                <w:rFonts w:hint="eastAsia" w:ascii="宋体" w:hAnsi="宋体"/>
                <w:b/>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387C01"/>
    <w:rsid w:val="4BE40AB3"/>
    <w:rsid w:val="4E443439"/>
    <w:rsid w:val="5F8314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
    <w:pPr>
      <w:keepNext/>
      <w:keepLines/>
      <w:spacing w:before="100" w:beforeAutospacing="1" w:after="100" w:afterAutospacing="1" w:line="360" w:lineRule="auto"/>
      <w:jc w:val="left"/>
      <w:outlineLvl w:val="0"/>
    </w:pPr>
    <w:rPr>
      <w:b/>
      <w:bCs/>
      <w:kern w:val="44"/>
      <w:sz w:val="28"/>
      <w:szCs w:val="44"/>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uiPriority w:val="99"/>
    <w:rPr>
      <w:color w:val="0000FF"/>
      <w:u w:val="single"/>
    </w:rPr>
  </w:style>
  <w:style w:type="character" w:customStyle="1" w:styleId="11">
    <w:name w:val="批注框文本 字符"/>
    <w:link w:val="3"/>
    <w:semiHidden/>
    <w:qFormat/>
    <w:locked/>
    <w:uiPriority w:val="99"/>
    <w:rPr>
      <w:rFonts w:ascii="Times New Roman" w:hAnsi="Times New Roman" w:eastAsia="宋体" w:cs="Times New Roman"/>
      <w:sz w:val="18"/>
      <w:szCs w:val="18"/>
    </w:rPr>
  </w:style>
  <w:style w:type="character" w:customStyle="1" w:styleId="12">
    <w:name w:val="页脚 字符"/>
    <w:link w:val="4"/>
    <w:qFormat/>
    <w:locked/>
    <w:uiPriority w:val="99"/>
    <w:rPr>
      <w:rFonts w:ascii="Times New Roman" w:hAnsi="Times New Roman" w:eastAsia="宋体" w:cs="Times New Roman"/>
      <w:sz w:val="18"/>
      <w:szCs w:val="18"/>
    </w:rPr>
  </w:style>
  <w:style w:type="character" w:customStyle="1" w:styleId="13">
    <w:name w:val="页眉 字符"/>
    <w:link w:val="5"/>
    <w:qFormat/>
    <w:locked/>
    <w:uiPriority w:val="99"/>
    <w:rPr>
      <w:rFonts w:ascii="Calibri" w:hAnsi="Calibri" w:eastAsia="宋体" w:cs="Times New Roman"/>
      <w:sz w:val="18"/>
      <w:szCs w:val="18"/>
    </w:rPr>
  </w:style>
  <w:style w:type="character" w:customStyle="1" w:styleId="14">
    <w:name w:val="副标题 字符"/>
    <w:link w:val="6"/>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10</TotalTime>
  <ScaleCrop>false</ScaleCrop>
  <LinksUpToDate>false</LinksUpToDate>
  <CharactersWithSpaces>6844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小冉</cp:lastModifiedBy>
  <dcterms:modified xsi:type="dcterms:W3CDTF">2020-12-31T06:21:04Z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