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河北鸿赛科技有限公司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李丽英</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邱玉峰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w:t>
            </w:r>
          </w:p>
          <w:p>
            <w:pPr>
              <w:spacing w:line="240" w:lineRule="exact"/>
              <w:jc w:val="center"/>
              <w:rPr>
                <w:b/>
                <w:color w:val="000000" w:themeColor="text1"/>
                <w:sz w:val="20"/>
                <w:szCs w:val="20"/>
              </w:rPr>
            </w:pPr>
            <w:r>
              <w:rPr>
                <w:b/>
                <w:color w:val="000000" w:themeColor="text1"/>
                <w:sz w:val="20"/>
                <w:szCs w:val="20"/>
              </w:rPr>
              <w:t>E:29.12.00</w:t>
            </w:r>
          </w:p>
          <w:p>
            <w:pPr>
              <w:spacing w:line="240" w:lineRule="exact"/>
              <w:jc w:val="center"/>
              <w:rPr>
                <w:b/>
                <w:color w:val="000000" w:themeColor="text1"/>
                <w:sz w:val="20"/>
                <w:szCs w:val="20"/>
              </w:rPr>
            </w:pPr>
            <w:r>
              <w:rPr>
                <w:b/>
                <w:color w:val="000000" w:themeColor="text1"/>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王志慧</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Q:29.12.00</w:t>
            </w:r>
          </w:p>
          <w:p>
            <w:pPr>
              <w:spacing w:line="240" w:lineRule="exact"/>
              <w:jc w:val="center"/>
              <w:rPr>
                <w:b/>
                <w:color w:val="000000" w:themeColor="text1"/>
                <w:sz w:val="20"/>
                <w:szCs w:val="20"/>
              </w:rPr>
            </w:pPr>
            <w:r>
              <w:rPr>
                <w:b/>
                <w:color w:val="000000" w:themeColor="text1"/>
                <w:sz w:val="20"/>
                <w:szCs w:val="20"/>
              </w:rPr>
              <w:t>E:29.12.00</w:t>
            </w:r>
          </w:p>
          <w:p>
            <w:pPr>
              <w:spacing w:line="240" w:lineRule="exact"/>
              <w:jc w:val="center"/>
              <w:rPr>
                <w:b/>
                <w:color w:val="000000" w:themeColor="text1"/>
                <w:sz w:val="20"/>
                <w:szCs w:val="20"/>
              </w:rPr>
            </w:pPr>
            <w:r>
              <w:rPr>
                <w:b/>
                <w:color w:val="000000" w:themeColor="text1"/>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pacing w:val="-10"/>
          <w:sz w:val="20"/>
          <w:szCs w:val="20"/>
        </w:rPr>
      </w:pPr>
      <w:r>
        <w:rPr>
          <w:rFonts w:hint="eastAsia" w:ascii="宋体" w:hAnsi="宋体"/>
          <w:b/>
          <w:color w:val="000000" w:themeColor="text1"/>
          <w:sz w:val="26"/>
          <w:szCs w:val="26"/>
        </w:rPr>
        <w:t>审核准则</w:t>
      </w:r>
      <w:bookmarkStart w:id="4" w:name="审核依据"/>
    </w:p>
    <w:p>
      <w:pPr>
        <w:pStyle w:val="10"/>
        <w:numPr>
          <w:ilvl w:val="0"/>
          <w:numId w:val="0"/>
        </w:numPr>
        <w:ind w:left="-851" w:leftChars="0"/>
        <w:rPr>
          <w:rFonts w:hint="eastAsia" w:ascii="宋体" w:hAnsi="宋体"/>
          <w:b/>
          <w:color w:val="000000" w:themeColor="text1"/>
          <w:spacing w:val="-10"/>
          <w:sz w:val="20"/>
          <w:szCs w:val="20"/>
        </w:rPr>
      </w:pPr>
      <w:r>
        <w:rPr>
          <w:rFonts w:hint="eastAsia" w:ascii="宋体" w:hAnsi="宋体"/>
          <w:b/>
          <w:color w:val="000000" w:themeColor="text1"/>
          <w:spacing w:val="-10"/>
          <w:sz w:val="20"/>
          <w:szCs w:val="20"/>
        </w:rPr>
        <w:t>Q：GB/T19001-2016/ISO9001:2015,</w:t>
      </w:r>
      <w:r>
        <w:rPr>
          <w:rFonts w:hint="eastAsia" w:ascii="宋体" w:hAnsi="宋体"/>
          <w:b/>
          <w:color w:val="000000" w:themeColor="text1"/>
          <w:spacing w:val="-10"/>
          <w:sz w:val="20"/>
          <w:szCs w:val="20"/>
          <w:lang w:val="en-US" w:eastAsia="zh-CN"/>
        </w:rPr>
        <w:t xml:space="preserve">  </w:t>
      </w:r>
      <w:r>
        <w:rPr>
          <w:rFonts w:hint="eastAsia" w:ascii="宋体" w:hAnsi="宋体"/>
          <w:b/>
          <w:color w:val="000000" w:themeColor="text1"/>
          <w:spacing w:val="-10"/>
          <w:sz w:val="20"/>
          <w:szCs w:val="20"/>
        </w:rPr>
        <w:t>E：GB/T 24001-2016/ISO14001:2015,</w:t>
      </w:r>
      <w:r>
        <w:rPr>
          <w:rFonts w:hint="eastAsia" w:ascii="宋体" w:hAnsi="宋体"/>
          <w:b/>
          <w:color w:val="000000" w:themeColor="text1"/>
          <w:spacing w:val="-10"/>
          <w:sz w:val="20"/>
          <w:szCs w:val="20"/>
          <w:lang w:val="en-US" w:eastAsia="zh-CN"/>
        </w:rPr>
        <w:t xml:space="preserve"> </w:t>
      </w:r>
      <w:r>
        <w:rPr>
          <w:rFonts w:hint="eastAsia" w:ascii="宋体" w:hAnsi="宋体"/>
          <w:b/>
          <w:color w:val="000000" w:themeColor="text1"/>
          <w:spacing w:val="-10"/>
          <w:sz w:val="20"/>
          <w:szCs w:val="20"/>
        </w:rPr>
        <w:t>O：GB/T45001-2020 / ISO45001：2018</w:t>
      </w:r>
      <w:bookmarkEnd w:id="4"/>
    </w:p>
    <w:p>
      <w:pPr>
        <w:pStyle w:val="10"/>
        <w:numPr>
          <w:ilvl w:val="0"/>
          <w:numId w:val="0"/>
        </w:numPr>
        <w:ind w:left="-851" w:leftChars="0"/>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河北鸿赛科技有限公司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12</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left"/>
              <w:rPr>
                <w:rFonts w:ascii="宋体" w:hAnsi="宋体"/>
                <w:b/>
                <w:color w:val="000000" w:themeColor="text1"/>
                <w:sz w:val="20"/>
                <w:szCs w:val="20"/>
              </w:rPr>
            </w:pPr>
            <w:bookmarkStart w:id="7" w:name="注册地址"/>
            <w:r>
              <w:rPr>
                <w:rFonts w:ascii="宋体" w:hAnsi="宋体"/>
                <w:b/>
                <w:color w:val="000000" w:themeColor="text1"/>
                <w:sz w:val="20"/>
                <w:szCs w:val="20"/>
              </w:rPr>
              <w:t>河北省石家庄市新华区石清路88号汇君城L区2号住宅楼02单元1103</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050000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生产地址"/>
            <w:r>
              <w:rPr>
                <w:rFonts w:ascii="宋体" w:hAnsi="宋体"/>
                <w:b/>
                <w:color w:val="000000" w:themeColor="text1"/>
                <w:sz w:val="20"/>
                <w:szCs w:val="20"/>
              </w:rPr>
              <w:t>河北省石家庄市新华区杜北乡香水岸2-2-404</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050000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张朝卿</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17301109395</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赵川鹏</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hint="eastAsia" w:ascii="宋体" w:hAnsi="宋体" w:eastAsia="宋体"/>
                <w:b/>
                <w:color w:val="000000" w:themeColor="text1"/>
                <w:spacing w:val="-20"/>
                <w:sz w:val="20"/>
                <w:szCs w:val="20"/>
                <w:lang w:val="en-US" w:eastAsia="zh-CN"/>
              </w:rPr>
            </w:pPr>
            <w:bookmarkStart w:id="15" w:name="最高管理者"/>
            <w:bookmarkEnd w:id="15"/>
            <w:r>
              <w:rPr>
                <w:rFonts w:hint="eastAsia" w:ascii="宋体" w:hAnsi="宋体"/>
                <w:b/>
                <w:color w:val="000000" w:themeColor="text1"/>
                <w:spacing w:val="-20"/>
                <w:sz w:val="20"/>
                <w:szCs w:val="20"/>
                <w:lang w:val="en-US" w:eastAsia="zh-CN"/>
              </w:rPr>
              <w:t>赵川鹏</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张朝卿</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Q：机械设备及配件、电动工具、五金产品的销售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E：机械设备及配件、电动工具、五金产品的销售所涉及场所的相关环境管理活动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O：机械设备及配件、电动工具、五金产品的销售所涉及场所的相关职业健康安全管理活动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Q：29.12.00</w:t>
            </w:r>
          </w:p>
          <w:p>
            <w:pPr>
              <w:spacing w:line="320" w:lineRule="exact"/>
              <w:rPr>
                <w:rFonts w:ascii="宋体" w:hAnsi="宋体"/>
                <w:b/>
                <w:color w:val="000000" w:themeColor="text1"/>
                <w:sz w:val="20"/>
                <w:szCs w:val="20"/>
              </w:rPr>
            </w:pPr>
            <w:r>
              <w:rPr>
                <w:rFonts w:ascii="宋体" w:hAnsi="宋体"/>
                <w:b/>
                <w:color w:val="000000" w:themeColor="text1"/>
                <w:sz w:val="20"/>
                <w:szCs w:val="20"/>
              </w:rPr>
              <w:t>E：29.12.00</w:t>
            </w:r>
          </w:p>
          <w:p>
            <w:pPr>
              <w:spacing w:line="320" w:lineRule="exact"/>
              <w:rPr>
                <w:rFonts w:ascii="宋体" w:hAnsi="宋体"/>
                <w:b/>
                <w:color w:val="000000" w:themeColor="text1"/>
                <w:sz w:val="20"/>
                <w:szCs w:val="20"/>
              </w:rPr>
            </w:pPr>
            <w:r>
              <w:rPr>
                <w:rFonts w:ascii="宋体" w:hAnsi="宋体"/>
                <w:b/>
                <w:color w:val="000000" w:themeColor="text1"/>
                <w:sz w:val="20"/>
                <w:szCs w:val="20"/>
              </w:rPr>
              <w:t>O：29.12.00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2020-09-03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w:t>
            </w: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3"/>
        <w:gridCol w:w="7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7440"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管理层</w:t>
            </w:r>
          </w:p>
        </w:tc>
        <w:tc>
          <w:tcPr>
            <w:tcW w:w="7440" w:type="dxa"/>
          </w:tcPr>
          <w:p>
            <w:pPr>
              <w:jc w:val="left"/>
              <w:rPr>
                <w:rFonts w:hint="eastAsia"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QEO:4;5;6;7.1;9.3;10.1;10.3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办公室</w:t>
            </w:r>
          </w:p>
        </w:tc>
        <w:tc>
          <w:tcPr>
            <w:tcW w:w="7440" w:type="dxa"/>
          </w:tcPr>
          <w:p>
            <w:pPr>
              <w:jc w:val="left"/>
              <w:rPr>
                <w:rFonts w:hint="eastAsia"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QEO:5.3;6.1;6.2;7.2;7.3;7.4;7.5;9.1.1;9.2;10.2；</w:t>
            </w:r>
          </w:p>
          <w:p>
            <w:pPr>
              <w:jc w:val="left"/>
              <w:rPr>
                <w:rFonts w:hint="eastAsia"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EO:6.1.2;6.1.3;8.2;9.1.2    Q:7.1.2;7.1.3;7.1.4;7.1.5;7.1.6;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销售部</w:t>
            </w:r>
          </w:p>
        </w:tc>
        <w:tc>
          <w:tcPr>
            <w:tcW w:w="7440" w:type="dxa"/>
          </w:tcPr>
          <w:p>
            <w:pPr>
              <w:jc w:val="left"/>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QEO:5.3;6.1;6.2;10.2   Q:8.1;8.2;8.5;8.6;8.7;9.1.2; EO:6.1.2；8.1;8.2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Pr>
          <w:p>
            <w:pPr>
              <w:jc w:val="center"/>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采购部</w:t>
            </w:r>
          </w:p>
        </w:tc>
        <w:tc>
          <w:tcPr>
            <w:tcW w:w="7440" w:type="dxa"/>
          </w:tcPr>
          <w:p>
            <w:pPr>
              <w:jc w:val="left"/>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QEO:5.3;6.1;6.2;10.2   Q:8.4;8.5.3;   EO:6.1.2;8.2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Pr>
          <w:p>
            <w:pPr>
              <w:ind w:firstLine="1265" w:firstLineChars="600"/>
              <w:rPr>
                <w:rFonts w:hint="eastAsia" w:ascii="宋体" w:hAnsi="宋体" w:eastAsia="宋体"/>
                <w:b/>
                <w:color w:val="000000" w:themeColor="text1"/>
                <w:szCs w:val="21"/>
                <w:lang w:val="en-US" w:eastAsia="zh-CN"/>
              </w:rPr>
            </w:pPr>
            <w:r>
              <w:rPr>
                <w:rFonts w:hint="eastAsia" w:ascii="宋体" w:hAnsi="宋体"/>
                <w:b/>
                <w:color w:val="000000" w:themeColor="text1"/>
                <w:szCs w:val="21"/>
                <w:lang w:val="en-US" w:eastAsia="zh-CN"/>
              </w:rPr>
              <w:t>财务部</w:t>
            </w:r>
          </w:p>
        </w:tc>
        <w:tc>
          <w:tcPr>
            <w:tcW w:w="7440" w:type="dxa"/>
          </w:tcPr>
          <w:p>
            <w:pPr>
              <w:jc w:val="left"/>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QEO:5.3;6.1;6.2;7.1;10.2   EO:6.1.2;8.2</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int="eastAsia" w:hAnsi="宋体" w:eastAsia="宋体"/>
          <w:b/>
          <w:color w:val="000000" w:themeColor="text1"/>
          <w:spacing w:val="-6"/>
          <w:szCs w:val="21"/>
          <w:lang w:val="en-US" w:eastAsia="zh-CN"/>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r>
        <w:rPr>
          <w:rFonts w:hint="eastAsia" w:hAnsi="宋体"/>
          <w:b/>
          <w:color w:val="000000" w:themeColor="text1"/>
          <w:spacing w:val="-6"/>
          <w:szCs w:val="21"/>
          <w:lang w:eastAsia="zh-CN"/>
        </w:rPr>
        <w:t>：</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hAnsi="宋体"/>
                <w:b w:val="0"/>
                <w:bCs/>
                <w:color w:val="000000" w:themeColor="text1"/>
                <w:spacing w:val="-6"/>
                <w:szCs w:val="21"/>
                <w:lang w:val="en-US" w:eastAsia="zh-CN"/>
              </w:rPr>
              <w:t>机械设备和配件、电动工具、五金产品的销售</w:t>
            </w:r>
          </w:p>
        </w:tc>
        <w:tc>
          <w:tcPr>
            <w:tcW w:w="2519" w:type="dxa"/>
          </w:tcPr>
          <w:p>
            <w:pPr>
              <w:rPr>
                <w:rFonts w:hint="eastAsia" w:hAnsi="宋体"/>
                <w:b w:val="0"/>
                <w:bCs/>
                <w:color w:val="000000" w:themeColor="text1"/>
                <w:spacing w:val="-6"/>
                <w:szCs w:val="21"/>
                <w:lang w:val="en-US" w:eastAsia="zh-CN"/>
              </w:rPr>
            </w:pPr>
            <w:r>
              <w:rPr>
                <w:rFonts w:hint="eastAsia" w:hAnsi="宋体"/>
                <w:b w:val="0"/>
                <w:bCs/>
                <w:color w:val="000000" w:themeColor="text1"/>
                <w:spacing w:val="-6"/>
                <w:szCs w:val="21"/>
                <w:lang w:val="en-US" w:eastAsia="zh-CN"/>
              </w:rPr>
              <w:t>销售</w:t>
            </w:r>
          </w:p>
        </w:tc>
        <w:tc>
          <w:tcPr>
            <w:tcW w:w="1843" w:type="dxa"/>
          </w:tcPr>
          <w:p>
            <w:pPr>
              <w:rPr>
                <w:rFonts w:hint="default" w:hAnsi="宋体"/>
                <w:b w:val="0"/>
                <w:bCs/>
                <w:color w:val="000000" w:themeColor="text1"/>
                <w:spacing w:val="-6"/>
                <w:szCs w:val="21"/>
                <w:lang w:val="en-US" w:eastAsia="zh-CN"/>
              </w:rPr>
            </w:pPr>
            <w:r>
              <w:rPr>
                <w:rFonts w:hint="eastAsia" w:hAnsi="宋体"/>
                <w:b w:val="0"/>
                <w:bCs/>
                <w:color w:val="000000" w:themeColor="text1"/>
                <w:spacing w:val="-6"/>
                <w:szCs w:val="21"/>
                <w:lang w:val="en-US" w:eastAsia="zh-CN"/>
              </w:rPr>
              <w:t>按照合同执行</w:t>
            </w:r>
          </w:p>
        </w:tc>
        <w:tc>
          <w:tcPr>
            <w:tcW w:w="3543" w:type="dxa"/>
          </w:tcPr>
          <w:p>
            <w:pPr>
              <w:rPr>
                <w:rFonts w:hint="eastAsia" w:hAnsi="宋体"/>
                <w:b w:val="0"/>
                <w:bCs/>
                <w:color w:val="000000" w:themeColor="text1"/>
                <w:spacing w:val="-6"/>
                <w:szCs w:val="21"/>
                <w:lang w:val="en-US" w:eastAsia="zh-CN"/>
              </w:rPr>
            </w:pPr>
            <w:r>
              <w:rPr>
                <w:rFonts w:hint="eastAsia" w:hAnsi="宋体"/>
                <w:b w:val="0"/>
                <w:bCs/>
                <w:color w:val="000000" w:themeColor="text1"/>
                <w:spacing w:val="-6"/>
                <w:szCs w:val="21"/>
                <w:lang w:val="en-US" w:eastAsia="zh-CN"/>
              </w:rPr>
              <w:t>按照合同执行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3</w:t>
      </w:r>
      <w:bookmarkStart w:id="22" w:name="_GoBack"/>
      <w:bookmarkEnd w:id="22"/>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12</w:t>
      </w:r>
      <w:r>
        <w:rPr>
          <w:rFonts w:hint="eastAsia"/>
          <w:b/>
          <w:color w:val="000000" w:themeColor="text1"/>
          <w:spacing w:val="-10"/>
          <w:szCs w:val="21"/>
        </w:rPr>
        <w:t>月</w:t>
      </w:r>
      <w:r>
        <w:rPr>
          <w:rFonts w:hint="eastAsia"/>
          <w:b/>
          <w:color w:val="000000" w:themeColor="text1"/>
          <w:spacing w:val="-10"/>
          <w:szCs w:val="21"/>
          <w:lang w:val="en-US" w:eastAsia="zh-CN"/>
        </w:rPr>
        <w:t>29</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rPr>
                <w:rFonts w:hint="eastAsia"/>
                <w:szCs w:val="22"/>
                <w:lang w:val="en-US" w:eastAsia="zh-CN"/>
              </w:rPr>
            </w:pPr>
            <w:r>
              <w:rPr>
                <w:rFonts w:hint="eastAsia"/>
                <w:szCs w:val="22"/>
                <w:lang w:val="en-US" w:eastAsia="zh-CN"/>
              </w:rPr>
              <w:t>总经理会同办公室识别公司的外部和内部问题</w:t>
            </w:r>
          </w:p>
          <w:p>
            <w:pPr>
              <w:rPr>
                <w:rFonts w:hint="eastAsia"/>
                <w:szCs w:val="22"/>
                <w:lang w:val="en-US" w:eastAsia="zh-CN"/>
              </w:rPr>
            </w:pPr>
            <w:r>
              <w:rPr>
                <w:rFonts w:hint="eastAsia"/>
                <w:szCs w:val="22"/>
                <w:lang w:val="en-US" w:eastAsia="zh-CN"/>
              </w:rPr>
              <w:t xml:space="preserve">1、外部的环境，考虑国际、国家、地区或当地的法律法规、技术、竞争、市场、文化、社会和经济因素；  </w:t>
            </w:r>
          </w:p>
          <w:p>
            <w:pPr>
              <w:rPr>
                <w:rFonts w:hint="eastAsia"/>
                <w:szCs w:val="22"/>
                <w:lang w:val="en-US" w:eastAsia="zh-CN"/>
              </w:rPr>
            </w:pPr>
            <w:r>
              <w:rPr>
                <w:rFonts w:hint="eastAsia"/>
                <w:szCs w:val="22"/>
                <w:lang w:val="en-US" w:eastAsia="zh-CN"/>
              </w:rPr>
              <w:t xml:space="preserve">2、内部环境，考虑组织的价值观、文化、知识和绩效等相关因素。  </w:t>
            </w:r>
          </w:p>
          <w:p>
            <w:pPr>
              <w:rPr>
                <w:rFonts w:hint="eastAsia"/>
                <w:b/>
                <w:color w:val="000000" w:themeColor="text1"/>
                <w:sz w:val="20"/>
                <w:szCs w:val="20"/>
              </w:rPr>
            </w:pPr>
            <w:r>
              <w:rPr>
                <w:rFonts w:hint="eastAsia"/>
                <w:szCs w:val="22"/>
                <w:lang w:val="en-US" w:eastAsia="zh-CN"/>
              </w:rPr>
              <w:t>该公司目前识别的外包过程：产品运输。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b/>
                <w:color w:val="000000" w:themeColor="text1"/>
                <w:sz w:val="20"/>
                <w:szCs w:val="20"/>
              </w:rPr>
            </w:pPr>
            <w:r>
              <w:rPr>
                <w:rFonts w:hint="eastAsia"/>
                <w:b/>
                <w:color w:val="000000" w:themeColor="text1"/>
                <w:sz w:val="20"/>
                <w:szCs w:val="20"/>
              </w:rPr>
              <w:t>相关方需求和期望识别情况</w:t>
            </w:r>
          </w:p>
          <w:p>
            <w:pPr>
              <w:rPr>
                <w:rFonts w:hint="default"/>
                <w:szCs w:val="22"/>
                <w:lang w:val="en-US" w:eastAsia="zh-CN"/>
              </w:rPr>
            </w:pPr>
            <w:r>
              <w:rPr>
                <w:rFonts w:hint="eastAsia"/>
                <w:szCs w:val="22"/>
                <w:lang w:val="en-US" w:eastAsia="zh-CN"/>
              </w:rPr>
              <w:t>企业的相关方包括：</w:t>
            </w:r>
          </w:p>
          <w:p>
            <w:pPr>
              <w:rPr>
                <w:rFonts w:hint="eastAsia"/>
                <w:szCs w:val="22"/>
                <w:lang w:val="en-US" w:eastAsia="zh-CN"/>
              </w:rPr>
            </w:pPr>
            <w:r>
              <w:rPr>
                <w:rFonts w:hint="eastAsia"/>
                <w:szCs w:val="22"/>
                <w:lang w:val="en-US" w:eastAsia="zh-CN"/>
              </w:rPr>
              <w:t xml:space="preserve">与质量和环境管理体系、职业健康安全管理体系有关的相关方，如顾客、最终用户、股东、银行、外部供应商、员工及监管部门等； </w:t>
            </w:r>
          </w:p>
          <w:p>
            <w:pPr>
              <w:rPr>
                <w:rFonts w:hint="eastAsia"/>
                <w:b/>
                <w:color w:val="000000" w:themeColor="text1"/>
                <w:sz w:val="20"/>
                <w:szCs w:val="20"/>
              </w:rPr>
            </w:pPr>
            <w:r>
              <w:rPr>
                <w:rFonts w:hint="eastAsia"/>
                <w:szCs w:val="22"/>
                <w:lang w:val="en-US" w:eastAsia="zh-CN"/>
              </w:rPr>
              <w:t>企业按标准的要求，确定这些相关方的需求和期望（即要求），将这些相关方的需求和期望中影响企业绩效的纳入企业的合规义务。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9"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szCs w:val="22"/>
                <w:lang w:val="en-US" w:eastAsia="zh-CN"/>
              </w:rPr>
            </w:pPr>
            <w:r>
              <w:rPr>
                <w:rFonts w:hint="eastAsia"/>
                <w:szCs w:val="22"/>
                <w:lang w:val="en-US" w:eastAsia="zh-CN"/>
              </w:rPr>
              <w:t>1、管理方针：坚持产品质量第一，确保增进顾客满意；坚持遵守法律法规，实现环保安全目标；规范企业经营管理，持续改进管理体系。</w:t>
            </w:r>
          </w:p>
          <w:p>
            <w:pPr>
              <w:keepNext w:val="0"/>
              <w:keepLines w:val="0"/>
              <w:pageBreakBefore w:val="0"/>
              <w:kinsoku/>
              <w:wordWrap/>
              <w:overflowPunct/>
              <w:topLinePunct w:val="0"/>
              <w:bidi w:val="0"/>
              <w:snapToGrid/>
              <w:spacing w:line="360" w:lineRule="exact"/>
              <w:textAlignment w:val="auto"/>
            </w:pPr>
            <w:r>
              <w:rPr>
                <w:rFonts w:hint="eastAsia" w:cs="宋体"/>
                <w:lang w:val="en-US" w:eastAsia="zh-CN"/>
              </w:rPr>
              <w:t>2、</w:t>
            </w:r>
            <w:r>
              <w:rPr>
                <w:rFonts w:hint="eastAsia" w:cs="宋体"/>
              </w:rPr>
              <w:t>管理方针与企业的经营宗旨相适应，协调；</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b/>
                <w:color w:val="000000" w:themeColor="text1"/>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hint="eastAsia" w:ascii="宋体" w:hAnsi="宋体" w:cs="Times New Roman"/>
                <w:b/>
                <w:color w:val="000000" w:themeColor="text1"/>
                <w:sz w:val="20"/>
                <w:szCs w:val="20"/>
              </w:rPr>
            </w:pPr>
            <w:r>
              <w:rPr>
                <w:rFonts w:hint="eastAsia" w:ascii="宋体" w:hAnsi="宋体" w:cs="Times New Roman"/>
                <w:b/>
                <w:color w:val="000000" w:themeColor="text1"/>
                <w:sz w:val="20"/>
                <w:szCs w:val="20"/>
                <w:lang w:val="en-US" w:eastAsia="zh-CN"/>
              </w:rPr>
              <w:t>4、</w:t>
            </w:r>
            <w:r>
              <w:rPr>
                <w:rFonts w:hint="eastAsia" w:ascii="宋体" w:hAnsi="宋体" w:cs="Times New Roman"/>
                <w:b/>
                <w:color w:val="000000" w:themeColor="text1"/>
                <w:sz w:val="20"/>
                <w:szCs w:val="20"/>
              </w:rPr>
              <w:t>风险识别与控制策划（QMS）</w:t>
            </w:r>
          </w:p>
          <w:p>
            <w:pPr>
              <w:rPr>
                <w:rFonts w:hint="eastAsia"/>
                <w:szCs w:val="22"/>
                <w:lang w:val="en-US" w:eastAsia="zh-CN"/>
              </w:rPr>
            </w:pPr>
            <w:r>
              <w:rPr>
                <w:rFonts w:hint="eastAsia"/>
                <w:lang w:val="en-US" w:eastAsia="zh-CN"/>
              </w:rPr>
              <w:t>企</w:t>
            </w:r>
            <w:r>
              <w:rPr>
                <w:rFonts w:hint="eastAsia"/>
                <w:szCs w:val="22"/>
                <w:lang w:val="en-US" w:eastAsia="zh-CN"/>
              </w:rPr>
              <w:t>业编制《风险与机遇应对控制程序》，通过对公司目标和战略方向相关影响实现管理体系预期结果的各种内外部环境因素的识别与评价，有效应对风险和机遇。</w:t>
            </w:r>
          </w:p>
          <w:p>
            <w:pPr>
              <w:rPr>
                <w:rFonts w:hint="eastAsia"/>
                <w:szCs w:val="22"/>
                <w:lang w:val="en-US" w:eastAsia="zh-CN"/>
              </w:rPr>
            </w:pPr>
            <w:r>
              <w:rPr>
                <w:rFonts w:hint="eastAsia"/>
                <w:szCs w:val="22"/>
                <w:lang w:val="en-US" w:eastAsia="zh-CN"/>
              </w:rPr>
              <w:t>风险与机遇的类型：  </w:t>
            </w:r>
          </w:p>
          <w:p>
            <w:pPr>
              <w:rPr>
                <w:rFonts w:hint="default"/>
                <w:lang w:val="en-US"/>
              </w:rPr>
            </w:pPr>
            <w:r>
              <w:rPr>
                <w:rFonts w:hint="eastAsia"/>
                <w:szCs w:val="22"/>
                <w:lang w:val="en-US" w:eastAsia="zh-CN"/>
              </w:rPr>
              <w:t>质量风险与机遇；环境风险与机遇；经营风险与机遇；市场风险与机遇；财务风险与机遇；</w:t>
            </w:r>
            <w:r>
              <w:rPr>
                <w:rFonts w:hint="eastAsia"/>
                <w:szCs w:val="22"/>
                <w:highlight w:val="none"/>
                <w:lang w:val="en-US" w:eastAsia="zh-CN"/>
              </w:rPr>
              <w:t>职业健康安全风险与机遇等。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sz w:val="21"/>
                <w:szCs w:val="21"/>
                <w:lang w:val="en-US" w:eastAsia="zh-CN"/>
              </w:rPr>
              <w:t>与顾客有关的过程；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eastAsia="zh-CN"/>
              </w:rPr>
              <w:t>——</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hint="eastAsia" w:ascii="宋体" w:hAnsi="宋体" w:eastAsia="宋体"/>
                <w:b/>
                <w:color w:val="000000" w:themeColor="text1"/>
                <w:sz w:val="20"/>
                <w:szCs w:val="20"/>
                <w:u w:val="single"/>
                <w:lang w:val="en-US"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lang w:val="en-US" w:eastAsia="zh-CN"/>
              </w:rPr>
              <w:t>销售过程</w:t>
            </w:r>
          </w:p>
          <w:p>
            <w:pPr>
              <w:tabs>
                <w:tab w:val="left" w:pos="540"/>
              </w:tabs>
              <w:spacing w:line="300" w:lineRule="exact"/>
              <w:ind w:left="201" w:hanging="201" w:hangingChars="100"/>
              <w:rPr>
                <w:rFonts w:ascii="宋体" w:hAnsi="宋体"/>
                <w:b/>
                <w:color w:val="000000" w:themeColor="text1"/>
                <w:sz w:val="20"/>
                <w:szCs w:val="20"/>
                <w:u w:val="none"/>
              </w:rPr>
            </w:pPr>
            <w:r>
              <w:rPr>
                <w:b/>
                <w:color w:val="000000" w:themeColor="text1"/>
                <w:sz w:val="20"/>
                <w:szCs w:val="20"/>
              </w:rPr>
              <w:pict>
                <v:shape id="_x0000_s1025" o:spid="_x0000_s1025"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 </w:t>
            </w:r>
            <w:r>
              <w:rPr>
                <w:rFonts w:hint="eastAsia"/>
                <w:b w:val="0"/>
                <w:bCs w:val="0"/>
                <w:sz w:val="21"/>
                <w:szCs w:val="21"/>
                <w:u w:val="none"/>
              </w:rPr>
              <w:t>公司产品和服务特点，</w:t>
            </w:r>
            <w:r>
              <w:rPr>
                <w:rFonts w:hint="eastAsia"/>
                <w:b w:val="0"/>
                <w:bCs w:val="0"/>
                <w:sz w:val="21"/>
                <w:szCs w:val="21"/>
                <w:u w:val="none"/>
                <w:lang w:eastAsia="zh-CN"/>
              </w:rPr>
              <w:t>产品依据国</w:t>
            </w:r>
            <w:r>
              <w:rPr>
                <w:rFonts w:hint="eastAsia"/>
                <w:b w:val="0"/>
                <w:bCs w:val="0"/>
                <w:sz w:val="21"/>
                <w:szCs w:val="21"/>
                <w:u w:val="none"/>
                <w:lang w:val="en-US" w:eastAsia="zh-CN"/>
              </w:rPr>
              <w:t>家法律法规</w:t>
            </w:r>
            <w:r>
              <w:rPr>
                <w:rFonts w:hint="eastAsia"/>
                <w:b w:val="0"/>
                <w:bCs w:val="0"/>
                <w:sz w:val="21"/>
                <w:szCs w:val="21"/>
                <w:u w:val="none"/>
                <w:lang w:eastAsia="zh-CN"/>
              </w:rPr>
              <w:t>、客户要求进行</w:t>
            </w:r>
            <w:r>
              <w:rPr>
                <w:rFonts w:hint="eastAsia"/>
                <w:b w:val="0"/>
                <w:bCs w:val="0"/>
                <w:sz w:val="21"/>
                <w:szCs w:val="21"/>
                <w:u w:val="none"/>
                <w:lang w:val="en-US" w:eastAsia="zh-CN"/>
              </w:rPr>
              <w:t>销售</w:t>
            </w:r>
            <w:r>
              <w:rPr>
                <w:rFonts w:hint="eastAsia"/>
                <w:b w:val="0"/>
                <w:bCs w:val="0"/>
                <w:sz w:val="21"/>
                <w:szCs w:val="21"/>
                <w:u w:val="none"/>
                <w:lang w:eastAsia="zh-CN"/>
              </w:rPr>
              <w:t>，</w:t>
            </w:r>
            <w:r>
              <w:rPr>
                <w:rFonts w:hint="eastAsia" w:ascii="Times New Roman" w:hAnsi="Times New Roman" w:cs="Times New Roman"/>
                <w:sz w:val="21"/>
                <w:szCs w:val="21"/>
                <w:u w:val="none"/>
                <w:lang w:val="en-US" w:eastAsia="zh-CN"/>
              </w:rPr>
              <w:t>服务流程成熟</w:t>
            </w:r>
            <w:r>
              <w:rPr>
                <w:rFonts w:hint="eastAsia" w:ascii="Times New Roman" w:hAnsi="Times New Roman" w:cs="Times New Roman"/>
                <w:sz w:val="21"/>
                <w:szCs w:val="21"/>
                <w:u w:val="none"/>
                <w:lang w:eastAsia="zh-CN"/>
              </w:rPr>
              <w:t>，</w:t>
            </w:r>
            <w:r>
              <w:rPr>
                <w:rFonts w:hint="eastAsia" w:ascii="Times New Roman" w:hAnsi="Times New Roman" w:cs="Times New Roman"/>
                <w:sz w:val="21"/>
                <w:szCs w:val="21"/>
                <w:u w:val="none"/>
                <w:lang w:val="en-US" w:eastAsia="zh-CN"/>
              </w:rPr>
              <w:t>服务模式固定</w:t>
            </w:r>
            <w:r>
              <w:rPr>
                <w:rFonts w:hint="eastAsia"/>
                <w:b w:val="0"/>
                <w:bCs w:val="0"/>
                <w:sz w:val="21"/>
                <w:szCs w:val="21"/>
                <w:u w:val="none"/>
                <w:lang w:eastAsia="zh-CN"/>
              </w:rPr>
              <w:t>，无设计开发要求。</w:t>
            </w:r>
            <w:r>
              <w:rPr>
                <w:rFonts w:hint="eastAsia" w:ascii="宋体" w:hAnsi="宋体"/>
                <w:b/>
                <w:color w:val="000000" w:themeColor="text1"/>
                <w:sz w:val="20"/>
                <w:szCs w:val="20"/>
                <w:u w:val="none"/>
              </w:rPr>
              <w:t xml:space="preserve">                                                   </w:t>
            </w:r>
          </w:p>
          <w:p>
            <w:pPr>
              <w:tabs>
                <w:tab w:val="left" w:pos="540"/>
              </w:tabs>
              <w:spacing w:line="300" w:lineRule="exact"/>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r>
              <w:rPr>
                <w:rFonts w:hint="eastAsia" w:ascii="宋体" w:hAnsi="宋体"/>
                <w:sz w:val="21"/>
                <w:szCs w:val="21"/>
                <w:lang w:val="en-US" w:eastAsia="zh-CN"/>
              </w:rPr>
              <w:t>办公室组织各部门对所涉及的环境因素进行识别，并评价出重要环境因素，提供环境因素评价记录，目前环境因素识别基本完整，评价的重要环境因素有</w:t>
            </w:r>
            <w:r>
              <w:rPr>
                <w:rFonts w:hint="eastAsia"/>
                <w:sz w:val="21"/>
                <w:szCs w:val="21"/>
                <w:lang w:val="en-US" w:eastAsia="zh-CN"/>
              </w:rPr>
              <w:t>办公生活垃圾</w:t>
            </w:r>
            <w:r>
              <w:rPr>
                <w:rFonts w:hint="eastAsia"/>
                <w:sz w:val="21"/>
                <w:szCs w:val="21"/>
              </w:rPr>
              <w:t>、火灾的</w:t>
            </w:r>
            <w:r>
              <w:rPr>
                <w:rFonts w:hint="eastAsia"/>
                <w:sz w:val="21"/>
                <w:szCs w:val="21"/>
                <w:lang w:val="en-US" w:eastAsia="zh-CN"/>
              </w:rPr>
              <w:t>二次污染等</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GB" w:eastAsia="zh-CN"/>
              </w:rPr>
              <w:t>环境因素识别评价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rPr>
                <w:b/>
                <w:color w:val="000000" w:themeColor="text1"/>
                <w:sz w:val="20"/>
                <w:szCs w:val="20"/>
              </w:rPr>
            </w:pPr>
            <w:r>
              <w:rPr>
                <w:rFonts w:hint="eastAsia" w:ascii="宋体" w:hAnsi="宋体"/>
                <w:sz w:val="21"/>
                <w:szCs w:val="21"/>
                <w:lang w:val="en-US" w:eastAsia="zh-CN"/>
              </w:rPr>
              <w:t>办公室组织各部门对所涉及的危险源进行识别，并评价出重大危险源，提供重大危险源评价记录，目前危险源识别基本完整，评价的</w:t>
            </w:r>
            <w:r>
              <w:rPr>
                <w:rFonts w:hint="eastAsia"/>
              </w:rPr>
              <w:t>不可接受风险</w:t>
            </w:r>
            <w:r>
              <w:rPr>
                <w:rFonts w:hint="eastAsia"/>
                <w:lang w:eastAsia="zh-CN"/>
              </w:rPr>
              <w:t>为</w:t>
            </w:r>
            <w:r>
              <w:rPr>
                <w:rFonts w:hint="eastAsia"/>
                <w:sz w:val="21"/>
                <w:szCs w:val="21"/>
              </w:rPr>
              <w:t>火灾、触电</w:t>
            </w:r>
            <w:r>
              <w:rPr>
                <w:rFonts w:hint="eastAsia"/>
                <w:sz w:val="21"/>
                <w:szCs w:val="21"/>
                <w:lang w:eastAsia="zh-CN"/>
              </w:rPr>
              <w:t>、</w:t>
            </w:r>
            <w:r>
              <w:rPr>
                <w:rFonts w:hint="eastAsia"/>
                <w:sz w:val="21"/>
                <w:szCs w:val="21"/>
                <w:lang w:val="en-US" w:eastAsia="zh-CN"/>
              </w:rPr>
              <w:t>机械伤害</w:t>
            </w:r>
            <w:r>
              <w:rPr>
                <w:rFonts w:hint="eastAsia" w:ascii="宋体" w:hAnsi="宋体" w:eastAsia="宋体" w:cs="宋体"/>
                <w:color w:val="auto"/>
                <w:kern w:val="2"/>
                <w:sz w:val="21"/>
                <w:szCs w:val="21"/>
                <w:lang w:val="en-GB"/>
              </w:rPr>
              <w:t>，</w:t>
            </w:r>
            <w:r>
              <w:rPr>
                <w:rFonts w:hint="eastAsia" w:ascii="宋体" w:hAnsi="宋体" w:eastAsia="宋体" w:cs="宋体"/>
                <w:color w:val="auto"/>
                <w:kern w:val="2"/>
                <w:sz w:val="21"/>
                <w:szCs w:val="21"/>
                <w:lang w:val="en-US" w:eastAsia="zh-CN"/>
              </w:rPr>
              <w:t>危险源</w:t>
            </w:r>
            <w:r>
              <w:rPr>
                <w:rFonts w:hint="eastAsia" w:ascii="宋体" w:hAnsi="宋体" w:eastAsia="宋体" w:cs="宋体"/>
                <w:color w:val="auto"/>
                <w:kern w:val="2"/>
                <w:sz w:val="21"/>
                <w:szCs w:val="21"/>
                <w:lang w:val="en-GB" w:eastAsia="zh-CN"/>
              </w:rPr>
              <w:t>识别评价</w:t>
            </w:r>
            <w:r>
              <w:rPr>
                <w:rFonts w:hint="eastAsia" w:ascii="宋体" w:hAnsi="宋体" w:eastAsia="宋体" w:cs="宋体"/>
                <w:color w:val="auto"/>
                <w:kern w:val="2"/>
                <w:sz w:val="21"/>
                <w:szCs w:val="21"/>
                <w:lang w:val="en-GB"/>
              </w:rPr>
              <w:t>符合要求</w:t>
            </w:r>
            <w:r>
              <w:rPr>
                <w:rFonts w:hint="eastAsia" w:ascii="宋体" w:hAnsi="宋体" w:cs="宋体"/>
                <w:color w:val="auto"/>
                <w:kern w:val="2"/>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A3"/>
            </w:r>
            <w:r>
              <w:rPr>
                <w:rFonts w:hint="eastAsia" w:ascii="宋体" w:hAnsi="宋体"/>
                <w:b/>
                <w:color w:val="000000" w:themeColor="text1"/>
                <w:szCs w:val="21"/>
              </w:rPr>
              <w:t>法律法规获取充分，</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培训</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szCs w:val="22"/>
                <w:lang w:val="en-US" w:eastAsia="zh-CN"/>
              </w:rPr>
            </w:pPr>
            <w:r>
              <w:rPr>
                <w:rFonts w:hint="eastAsia"/>
                <w:szCs w:val="22"/>
                <w:lang w:val="en-US" w:eastAsia="zh-CN"/>
              </w:rPr>
              <w:t xml:space="preserve">质量目标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szCs w:val="22"/>
                <w:lang w:val="en-US" w:eastAsia="zh-CN"/>
              </w:rPr>
            </w:pPr>
            <w:r>
              <w:rPr>
                <w:rFonts w:hint="eastAsia"/>
                <w:szCs w:val="22"/>
                <w:lang w:val="en-US" w:eastAsia="zh-CN"/>
              </w:rPr>
              <w:t xml:space="preserve">1、采购产品合格率≥95%；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szCs w:val="22"/>
                <w:lang w:val="en-US" w:eastAsia="zh-CN"/>
              </w:rPr>
            </w:pPr>
            <w:r>
              <w:rPr>
                <w:rFonts w:hint="eastAsia"/>
                <w:szCs w:val="22"/>
                <w:lang w:val="en-US" w:eastAsia="zh-CN"/>
              </w:rPr>
              <w:t xml:space="preserve">2、顾客满意率≥90%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szCs w:val="22"/>
                <w:lang w:val="en-US" w:eastAsia="zh-CN"/>
              </w:rPr>
            </w:pPr>
            <w:r>
              <w:rPr>
                <w:rFonts w:hint="eastAsia"/>
                <w:szCs w:val="22"/>
                <w:lang w:val="en-US" w:eastAsia="zh-CN"/>
              </w:rPr>
              <w:t>环境目标</w:t>
            </w:r>
          </w:p>
          <w:p>
            <w:pPr>
              <w:keepNext w:val="0"/>
              <w:keepLines w:val="0"/>
              <w:pageBreakBefore w:val="0"/>
              <w:widowControl/>
              <w:numPr>
                <w:ilvl w:val="0"/>
                <w:numId w:val="4"/>
              </w:numPr>
              <w:kinsoku/>
              <w:wordWrap/>
              <w:overflowPunct/>
              <w:topLinePunct w:val="0"/>
              <w:autoSpaceDE/>
              <w:autoSpaceDN/>
              <w:bidi w:val="0"/>
              <w:adjustRightInd/>
              <w:snapToGrid/>
              <w:spacing w:line="240" w:lineRule="auto"/>
              <w:jc w:val="left"/>
              <w:textAlignment w:val="auto"/>
              <w:rPr>
                <w:rFonts w:hint="eastAsia"/>
                <w:szCs w:val="22"/>
                <w:lang w:val="en-US" w:eastAsia="zh-CN"/>
              </w:rPr>
            </w:pPr>
            <w:r>
              <w:rPr>
                <w:rFonts w:hint="eastAsia"/>
                <w:szCs w:val="22"/>
                <w:lang w:val="en-US" w:eastAsia="zh-CN"/>
              </w:rPr>
              <w:t xml:space="preserve">固体废弃物分类回收率100%；           </w:t>
            </w:r>
          </w:p>
          <w:p>
            <w:pPr>
              <w:keepNext w:val="0"/>
              <w:keepLines w:val="0"/>
              <w:pageBreakBefore w:val="0"/>
              <w:widowControl/>
              <w:numPr>
                <w:ilvl w:val="0"/>
                <w:numId w:val="4"/>
              </w:numPr>
              <w:kinsoku/>
              <w:wordWrap/>
              <w:overflowPunct/>
              <w:topLinePunct w:val="0"/>
              <w:autoSpaceDE/>
              <w:autoSpaceDN/>
              <w:bidi w:val="0"/>
              <w:adjustRightInd/>
              <w:snapToGrid/>
              <w:spacing w:line="240" w:lineRule="auto"/>
              <w:jc w:val="left"/>
              <w:textAlignment w:val="auto"/>
              <w:rPr>
                <w:rFonts w:hint="default"/>
                <w:szCs w:val="22"/>
                <w:lang w:val="en-US" w:eastAsia="zh-CN"/>
              </w:rPr>
            </w:pPr>
            <w:r>
              <w:rPr>
                <w:rFonts w:hint="eastAsia"/>
                <w:szCs w:val="22"/>
                <w:lang w:val="en-US" w:eastAsia="zh-CN"/>
              </w:rPr>
              <w:t xml:space="preserve">2、杜绝火灾事故发生。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szCs w:val="22"/>
                <w:lang w:val="en-US" w:eastAsia="zh-CN"/>
              </w:rPr>
            </w:pPr>
            <w:r>
              <w:rPr>
                <w:rFonts w:hint="eastAsia"/>
                <w:szCs w:val="22"/>
                <w:lang w:val="en-US" w:eastAsia="zh-CN"/>
              </w:rPr>
              <w:t>职业健康安全目标</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szCs w:val="22"/>
                <w:lang w:val="en-US" w:eastAsia="zh-CN"/>
              </w:rPr>
            </w:pPr>
            <w:r>
              <w:rPr>
                <w:rFonts w:hint="eastAsia"/>
                <w:szCs w:val="22"/>
                <w:lang w:val="en-US" w:eastAsia="zh-CN"/>
              </w:rPr>
              <w:t xml:space="preserve">1、杜绝火灾事故发生；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szCs w:val="22"/>
                <w:lang w:val="en-US" w:eastAsia="zh-CN"/>
              </w:rPr>
            </w:pPr>
            <w:r>
              <w:rPr>
                <w:rFonts w:hint="eastAsia"/>
                <w:szCs w:val="22"/>
                <w:lang w:val="en-US" w:eastAsia="zh-CN"/>
              </w:rPr>
              <w:t xml:space="preserve">2、杜绝死亡及重大安全事故发生。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cs="宋体"/>
              </w:rPr>
            </w:pPr>
            <w:r>
              <w:rPr>
                <w:rFonts w:hint="eastAsia"/>
                <w:szCs w:val="22"/>
                <w:lang w:val="en-US" w:eastAsia="zh-CN"/>
              </w:rPr>
              <w:t xml:space="preserve">3、轻伤事故少于3起/年。                 </w:t>
            </w:r>
          </w:p>
          <w:p>
            <w:pPr>
              <w:spacing w:line="240" w:lineRule="exact"/>
              <w:rPr>
                <w:rFonts w:ascii="宋体" w:hAnsi="宋体"/>
                <w:b/>
                <w:color w:val="000000" w:themeColor="text1"/>
              </w:rPr>
            </w:pPr>
            <w:r>
              <w:rPr>
                <w:rFonts w:hint="eastAsia" w:ascii="Times New Roman" w:hAnsi="Times New Roman" w:cs="Times New Roman"/>
                <w:szCs w:val="22"/>
                <w:lang w:val="en-US" w:eastAsia="zh-CN"/>
              </w:rPr>
              <w:t>提供了文件化可分解的目标、指标，经查问分解到各部门，经查阅建立的管理目标符合标准要求，在方针的框架下展开，每季度考核一次，查看2020年4季度目标考核情况，显示目标均已完成。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hint="eastAsia" w:ascii="Times New Roman" w:hAnsi="Times New Roman" w:cs="宋体"/>
              </w:rPr>
            </w:pPr>
            <w:r>
              <w:rPr>
                <w:rFonts w:hint="eastAsia" w:ascii="Times New Roman" w:hAnsi="Times New Roman" w:cs="宋体"/>
              </w:rPr>
              <w:t>管理体系文件由</w:t>
            </w:r>
            <w:r>
              <w:rPr>
                <w:rFonts w:hint="eastAsia" w:cs="宋体"/>
                <w:lang w:val="en-US" w:eastAsia="zh-CN"/>
              </w:rPr>
              <w:t>办公室</w:t>
            </w:r>
            <w:r>
              <w:rPr>
                <w:rFonts w:hint="eastAsia" w:ascii="Times New Roman" w:hAnsi="Times New Roman" w:cs="宋体"/>
              </w:rPr>
              <w:t>组织编写，总经理批准发布实施，公司文件</w:t>
            </w:r>
            <w:r>
              <w:rPr>
                <w:rFonts w:hint="eastAsia" w:ascii="Times New Roman" w:hAnsi="Times New Roman" w:cs="宋体"/>
                <w:lang w:val="en-US" w:eastAsia="zh-CN"/>
              </w:rPr>
              <w:t>以</w:t>
            </w:r>
            <w:r>
              <w:rPr>
                <w:rFonts w:hint="eastAsia" w:ascii="Times New Roman" w:hAnsi="Times New Roman" w:cs="宋体"/>
              </w:rPr>
              <w:t>电子版本在电脑桌上，每个人均可查阅。</w:t>
            </w:r>
          </w:p>
          <w:p>
            <w:pPr>
              <w:tabs>
                <w:tab w:val="left" w:pos="540"/>
              </w:tabs>
              <w:spacing w:line="240" w:lineRule="exact"/>
              <w:rPr>
                <w:rFonts w:ascii="宋体" w:hAnsi="宋体"/>
                <w:b/>
                <w:color w:val="000000" w:themeColor="text1"/>
                <w:sz w:val="20"/>
                <w:szCs w:val="20"/>
              </w:rPr>
            </w:pPr>
            <w:r>
              <w:rPr>
                <w:rFonts w:hint="eastAsia" w:ascii="Times New Roman" w:hAnsi="Times New Roman" w:cs="宋体"/>
              </w:rPr>
              <w:t>记录管理：</w:t>
            </w:r>
            <w:r>
              <w:rPr>
                <w:rFonts w:hint="eastAsia" w:ascii="Times New Roman" w:hAnsi="Times New Roman" w:cs="宋体"/>
                <w:lang w:val="en-US" w:eastAsia="zh-CN"/>
              </w:rPr>
              <w:t>办公室</w:t>
            </w:r>
            <w:r>
              <w:rPr>
                <w:rFonts w:hint="eastAsia" w:ascii="Times New Roman" w:hAnsi="Times New Roman" w:cs="宋体"/>
              </w:rPr>
              <w:t>根据管理</w:t>
            </w:r>
            <w:r>
              <w:rPr>
                <w:rFonts w:hint="eastAsia" w:ascii="Times New Roman" w:hAnsi="Times New Roman" w:cs="宋体"/>
                <w:lang w:eastAsia="zh-CN"/>
              </w:rPr>
              <w:t>体</w:t>
            </w:r>
            <w:r>
              <w:rPr>
                <w:rFonts w:hint="eastAsia" w:ascii="Times New Roman" w:hAnsi="Times New Roman" w:cs="宋体"/>
              </w:rPr>
              <w:t>系要求设计了空白表格，按照需求发放，由使用人员填写记录并保存，</w:t>
            </w:r>
            <w:r>
              <w:rPr>
                <w:rFonts w:hint="eastAsia" w:ascii="Times New Roman" w:hAnsi="Times New Roman" w:cs="宋体"/>
                <w:lang w:val="en-US" w:eastAsia="zh-CN"/>
              </w:rPr>
              <w:t>办公室</w:t>
            </w:r>
            <w:r>
              <w:rPr>
                <w:rFonts w:hint="eastAsia" w:ascii="Times New Roman" w:hAnsi="Times New Roman" w:cs="宋体"/>
              </w:rPr>
              <w:t>不定期检查记录的同步性、真实性和填写完整、保存状况。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sz w:val="21"/>
                <w:szCs w:val="21"/>
              </w:rPr>
              <w:t>公司共有员工</w:t>
            </w:r>
            <w:r>
              <w:rPr>
                <w:rFonts w:hint="eastAsia"/>
                <w:sz w:val="21"/>
                <w:szCs w:val="21"/>
                <w:lang w:val="en-US" w:eastAsia="zh-CN"/>
              </w:rPr>
              <w:t>12</w:t>
            </w:r>
            <w:r>
              <w:rPr>
                <w:rFonts w:hint="eastAsia"/>
                <w:sz w:val="21"/>
                <w:szCs w:val="21"/>
              </w:rPr>
              <w:t>人，其中管理人员</w:t>
            </w:r>
            <w:r>
              <w:rPr>
                <w:rFonts w:hint="eastAsia"/>
                <w:sz w:val="21"/>
                <w:szCs w:val="21"/>
                <w:lang w:val="en-US" w:eastAsia="zh-CN"/>
              </w:rPr>
              <w:t>2</w:t>
            </w:r>
            <w:r>
              <w:rPr>
                <w:rFonts w:hint="eastAsia"/>
                <w:sz w:val="21"/>
                <w:szCs w:val="21"/>
              </w:rPr>
              <w:t>人，满足</w:t>
            </w:r>
            <w:r>
              <w:rPr>
                <w:rFonts w:hint="eastAsia"/>
                <w:sz w:val="21"/>
                <w:szCs w:val="21"/>
                <w:lang w:val="en-US" w:eastAsia="zh-CN"/>
              </w:rPr>
              <w:t>销售服务</w:t>
            </w:r>
            <w:r>
              <w:rPr>
                <w:rFonts w:hint="eastAsia"/>
                <w:sz w:val="21"/>
                <w:szCs w:val="21"/>
              </w:rPr>
              <w:t>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r>
              <w:rPr>
                <w:rFonts w:hint="eastAsia"/>
                <w:sz w:val="21"/>
                <w:szCs w:val="21"/>
              </w:rPr>
              <w:t>配备有</w:t>
            </w:r>
            <w:r>
              <w:rPr>
                <w:rFonts w:hint="eastAsia"/>
                <w:sz w:val="21"/>
                <w:szCs w:val="21"/>
                <w:lang w:eastAsia="zh-CN"/>
              </w:rPr>
              <w:t>办公室</w:t>
            </w:r>
            <w:r>
              <w:rPr>
                <w:rFonts w:hint="eastAsia"/>
                <w:sz w:val="21"/>
                <w:szCs w:val="21"/>
              </w:rPr>
              <w:t>等基础设施，主要设</w:t>
            </w:r>
            <w:r>
              <w:rPr>
                <w:rFonts w:hint="eastAsia"/>
                <w:sz w:val="21"/>
                <w:szCs w:val="21"/>
                <w:lang w:eastAsia="zh-CN"/>
              </w:rPr>
              <w:t>施：</w:t>
            </w:r>
            <w:r>
              <w:rPr>
                <w:rFonts w:hint="eastAsia" w:ascii="宋体" w:hAnsi="宋体"/>
                <w:color w:val="000000"/>
                <w:spacing w:val="-10"/>
                <w:sz w:val="20"/>
                <w:szCs w:val="20"/>
                <w:lang w:val="en-US" w:eastAsia="zh-CN"/>
              </w:rPr>
              <w:t>电脑、一体机、电话等办公设备</w:t>
            </w:r>
            <w:r>
              <w:rPr>
                <w:rFonts w:hint="eastAsia"/>
                <w:sz w:val="21"/>
                <w:szCs w:val="21"/>
              </w:rPr>
              <w:t>，满足</w:t>
            </w:r>
            <w:r>
              <w:rPr>
                <w:rFonts w:hint="eastAsia"/>
                <w:sz w:val="21"/>
                <w:szCs w:val="21"/>
                <w:lang w:val="en-US" w:eastAsia="zh-CN"/>
              </w:rPr>
              <w:t>销售</w:t>
            </w:r>
            <w:r>
              <w:rPr>
                <w:rFonts w:hint="eastAsia"/>
                <w:sz w:val="21"/>
                <w:szCs w:val="21"/>
                <w:lang w:eastAsia="zh-CN"/>
              </w:rPr>
              <w:t>服务</w:t>
            </w:r>
            <w:r>
              <w:rPr>
                <w:rFonts w:hint="eastAsia"/>
                <w:sz w:val="21"/>
                <w:szCs w:val="21"/>
              </w:rPr>
              <w:t>需求</w:t>
            </w:r>
            <w:r>
              <w:rPr>
                <w:rFonts w:hint="eastAsia" w:ascii="宋体" w:hAnsi="宋体"/>
                <w:szCs w:val="21"/>
                <w:lang w:eastAsia="zh-CN"/>
              </w:rPr>
              <w:t>。</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cs="宋体"/>
                <w:sz w:val="21"/>
                <w:szCs w:val="21"/>
              </w:rPr>
              <w:t>办公</w:t>
            </w:r>
            <w:r>
              <w:rPr>
                <w:rFonts w:hint="eastAsia" w:cs="宋体"/>
                <w:sz w:val="21"/>
                <w:szCs w:val="21"/>
                <w:lang w:val="en-US" w:eastAsia="zh-CN"/>
              </w:rPr>
              <w:t>经营</w:t>
            </w:r>
            <w:r>
              <w:rPr>
                <w:rFonts w:hint="eastAsia" w:cs="宋体"/>
                <w:sz w:val="21"/>
                <w:szCs w:val="21"/>
              </w:rPr>
              <w:t>地点位于</w:t>
            </w:r>
            <w:r>
              <w:rPr>
                <w:rFonts w:asciiTheme="minorEastAsia" w:hAnsiTheme="minorEastAsia" w:eastAsiaTheme="minorEastAsia"/>
                <w:sz w:val="20"/>
              </w:rPr>
              <w:t>河北省石家庄市新华区杜北乡香水岸2-2-404</w:t>
            </w:r>
            <w:r>
              <w:rPr>
                <w:rFonts w:hint="eastAsia" w:cs="宋体"/>
                <w:sz w:val="21"/>
                <w:szCs w:val="21"/>
              </w:rPr>
              <w:t>，</w:t>
            </w: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96平米</w:t>
            </w:r>
            <w:r>
              <w:rPr>
                <w:rFonts w:hint="eastAsia"/>
                <w:sz w:val="21"/>
                <w:szCs w:val="21"/>
                <w:lang w:val="en-US" w:eastAsia="zh-CN"/>
              </w:rPr>
              <w:t>，</w:t>
            </w:r>
            <w:r>
              <w:rPr>
                <w:rFonts w:hint="eastAsia"/>
                <w:sz w:val="21"/>
                <w:szCs w:val="21"/>
                <w:lang w:eastAsia="zh-CN"/>
              </w:rPr>
              <w:t>布局合理，场所卫生干净整洁，工作环境良好</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sz w:val="21"/>
                <w:szCs w:val="21"/>
                <w:lang w:eastAsia="zh-CN"/>
              </w:rPr>
              <w:t>组织对服务质量进行检查、对顾客满意度进行调查，制定了</w:t>
            </w:r>
            <w:r>
              <w:rPr>
                <w:rFonts w:hint="eastAsia"/>
                <w:sz w:val="21"/>
                <w:szCs w:val="21"/>
                <w:lang w:val="en-US" w:eastAsia="zh-CN"/>
              </w:rPr>
              <w:t>相应的要求</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rPr>
                <w:rFonts w:ascii="宋体" w:hAnsi="宋体"/>
                <w:b/>
                <w:color w:val="000000" w:themeColor="text1"/>
                <w:sz w:val="20"/>
                <w:szCs w:val="20"/>
              </w:rPr>
            </w:pPr>
            <w:r>
              <w:rPr>
                <w:rFonts w:hint="eastAsia"/>
                <w:sz w:val="21"/>
                <w:szCs w:val="21"/>
              </w:rPr>
              <w:t>公司对法律法规及其他要求进行了获取，包括</w:t>
            </w:r>
            <w:r>
              <w:rPr>
                <w:rFonts w:hint="eastAsia"/>
                <w:lang w:val="en-US" w:eastAsia="zh-CN"/>
              </w:rPr>
              <w:t>安全生产法</w:t>
            </w:r>
            <w:r>
              <w:rPr>
                <w:rFonts w:hint="eastAsia"/>
              </w:rPr>
              <w:t>、合同法、</w:t>
            </w:r>
            <w:r>
              <w:rPr>
                <w:rFonts w:hint="eastAsia"/>
                <w:lang w:val="en-US" w:eastAsia="zh-CN"/>
              </w:rPr>
              <w:t>产品质量法</w:t>
            </w:r>
            <w:r>
              <w:rPr>
                <w:rFonts w:hint="eastAsia"/>
                <w:lang w:eastAsia="zh-CN"/>
              </w:rPr>
              <w:t>法、</w:t>
            </w:r>
            <w:r>
              <w:rPr>
                <w:rFonts w:hint="eastAsia"/>
                <w:lang w:val="en-US" w:eastAsia="zh-CN"/>
              </w:rPr>
              <w:t>劳动法、</w:t>
            </w:r>
            <w:r>
              <w:rPr>
                <w:rFonts w:hint="eastAsia"/>
                <w:color w:val="auto"/>
                <w:lang w:eastAsia="zh-CN"/>
              </w:rPr>
              <w:t>劳动合同法、</w:t>
            </w:r>
            <w:r>
              <w:rPr>
                <w:rFonts w:hint="eastAsia"/>
              </w:rPr>
              <w:t>环境保护法</w:t>
            </w:r>
            <w:r>
              <w:rPr>
                <w:rFonts w:hint="eastAsia"/>
                <w:lang w:eastAsia="zh-CN"/>
              </w:rPr>
              <w:t>、</w:t>
            </w:r>
            <w:r>
              <w:rPr>
                <w:rFonts w:hint="eastAsia"/>
              </w:rPr>
              <w:t>消防法、固体废弃物环境防治法</w:t>
            </w:r>
            <w:r>
              <w:rPr>
                <w:rFonts w:hint="eastAsia"/>
                <w:color w:val="auto"/>
                <w:lang w:eastAsia="zh-CN"/>
              </w:rPr>
              <w:t>、工伤保险条例</w:t>
            </w:r>
            <w:r>
              <w:rPr>
                <w:rFonts w:hint="eastAsia"/>
              </w:rPr>
              <w:t>、劳动保护用品管理规定、GB/T 19000-2016《质量管理体系 基础和术语》、GB/T19001-2016《质量管理体系 要求》、GB/T24001-2016《环境管理体系 要求及使用指南》、</w:t>
            </w:r>
            <w:r>
              <w:rPr>
                <w:rFonts w:hint="eastAsia"/>
                <w:lang w:val="en-US" w:eastAsia="zh-CN"/>
              </w:rPr>
              <w:t>GB/T</w:t>
            </w:r>
            <w:r>
              <w:rPr>
                <w:rFonts w:hint="eastAsia"/>
              </w:rPr>
              <w:t>45001</w:t>
            </w:r>
            <w:r>
              <w:rPr>
                <w:rFonts w:hint="eastAsia"/>
                <w:lang w:val="en-US" w:eastAsia="zh-CN"/>
              </w:rPr>
              <w:t>-2020</w:t>
            </w:r>
            <w:r>
              <w:rPr>
                <w:rFonts w:hint="eastAsia"/>
              </w:rPr>
              <w:t>职业健康安全管理体系 要求及使用指南》</w:t>
            </w:r>
            <w:r>
              <w:rPr>
                <w:rFonts w:hint="eastAsia"/>
                <w:sz w:val="21"/>
                <w:szCs w:val="21"/>
              </w:rPr>
              <w:t>等法规要求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keepNext w:val="0"/>
              <w:keepLines w:val="0"/>
              <w:pageBreakBefore w:val="0"/>
              <w:kinsoku/>
              <w:wordWrap/>
              <w:overflowPunct/>
              <w:topLinePunct w:val="0"/>
              <w:bidi w:val="0"/>
              <w:snapToGrid/>
              <w:spacing w:line="360" w:lineRule="exact"/>
              <w:textAlignment w:val="auto"/>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宋体"/>
                <w:lang w:eastAsia="zh-CN"/>
              </w:rPr>
            </w:pPr>
            <w:r>
              <w:rPr>
                <w:rFonts w:hint="eastAsia"/>
                <w:b/>
                <w:color w:val="000000" w:themeColor="text1"/>
                <w:sz w:val="20"/>
                <w:szCs w:val="20"/>
                <w:lang w:val="en-US" w:eastAsia="zh-CN"/>
              </w:rPr>
              <w:t>1、</w:t>
            </w:r>
            <w:r>
              <w:rPr>
                <w:rFonts w:hint="eastAsia" w:cs="宋体"/>
              </w:rPr>
              <w:t>管理方针：</w:t>
            </w:r>
            <w:r>
              <w:rPr>
                <w:rFonts w:hint="eastAsia"/>
                <w:szCs w:val="22"/>
                <w:lang w:val="en-US" w:eastAsia="zh-CN"/>
              </w:rPr>
              <w:t>坚持产品质量第一，确保增进顾客满意；坚持遵守法律法规，实现环保安全目标；规范企业经营管理，持续改进管理体系。</w:t>
            </w:r>
          </w:p>
          <w:p>
            <w:pPr>
              <w:keepNext w:val="0"/>
              <w:keepLines w:val="0"/>
              <w:pageBreakBefore w:val="0"/>
              <w:kinsoku/>
              <w:wordWrap/>
              <w:overflowPunct/>
              <w:topLinePunct w:val="0"/>
              <w:bidi w:val="0"/>
              <w:snapToGrid/>
              <w:spacing w:line="360" w:lineRule="exact"/>
              <w:textAlignment w:val="auto"/>
            </w:pPr>
            <w:r>
              <w:t xml:space="preserve">2. </w:t>
            </w:r>
            <w:r>
              <w:rPr>
                <w:rFonts w:hint="eastAsia" w:cs="宋体"/>
              </w:rPr>
              <w:t>管理方针与企业的经营宗旨相适应，协调；</w:t>
            </w:r>
          </w:p>
          <w:p>
            <w:pPr>
              <w:spacing w:line="300" w:lineRule="exact"/>
              <w:ind w:left="1"/>
              <w:rPr>
                <w:b/>
                <w:color w:val="000000" w:themeColor="text1"/>
                <w:sz w:val="20"/>
                <w:szCs w:val="20"/>
              </w:rPr>
            </w:pPr>
            <w:r>
              <w:t xml:space="preserve">3. </w:t>
            </w:r>
            <w:r>
              <w:rPr>
                <w:rFonts w:hint="eastAsia" w:cs="宋体"/>
              </w:rPr>
              <w:t>通过会议传达，沟通，让全体员工理解执行。并定期进行评审（一般一年一次）。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szCs w:val="21"/>
              </w:rPr>
              <w:t>电话、</w:t>
            </w:r>
            <w:r>
              <w:rPr>
                <w:rFonts w:hint="eastAsia" w:ascii="宋体" w:hAnsi="宋体"/>
                <w:szCs w:val="21"/>
                <w:lang w:val="en-US" w:eastAsia="zh-CN"/>
              </w:rPr>
              <w:t>网络、</w:t>
            </w:r>
            <w:r>
              <w:rPr>
                <w:rFonts w:hint="eastAsia" w:ascii="宋体" w:hAnsi="宋体"/>
                <w:szCs w:val="21"/>
              </w:rPr>
              <w:t>面谈等方式进行内部沟通</w:t>
            </w:r>
          </w:p>
          <w:p>
            <w:pPr>
              <w:spacing w:line="240" w:lineRule="exact"/>
              <w:rPr>
                <w:rFonts w:hint="eastAsia" w:ascii="楷体_GB2312" w:eastAsia="楷体_GB2312"/>
                <w:b/>
                <w:color w:val="000000" w:themeColor="text1"/>
                <w:sz w:val="20"/>
                <w:szCs w:val="20"/>
                <w:lang w:val="en-US" w:eastAsia="zh-CN"/>
              </w:rPr>
            </w:pPr>
            <w:r>
              <w:rPr>
                <w:rFonts w:hint="eastAsia" w:ascii="楷体_GB2312" w:eastAsia="楷体_GB2312"/>
                <w:b/>
                <w:color w:val="000000" w:themeColor="text1"/>
                <w:sz w:val="20"/>
                <w:szCs w:val="20"/>
              </w:rPr>
              <w:t xml:space="preserve">                内部沟通的效果：</w:t>
            </w:r>
            <w:r>
              <w:rPr>
                <w:rFonts w:hint="eastAsia" w:ascii="宋体" w:hAnsi="宋体" w:cs="Times New Roman"/>
                <w:szCs w:val="21"/>
                <w:lang w:val="en-US" w:eastAsia="zh-CN"/>
              </w:rPr>
              <w:t>较为顺畅</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cs="Times New Roman"/>
                <w:szCs w:val="21"/>
                <w:lang w:val="en-US" w:eastAsia="zh-CN"/>
              </w:rPr>
              <w:t>对顾客回访，进行满意度调查。</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r>
              <w:rPr>
                <w:rFonts w:hint="eastAsia" w:ascii="宋体" w:hAnsi="宋体" w:cs="Times New Roman"/>
                <w:szCs w:val="21"/>
                <w:lang w:val="en-US" w:eastAsia="zh-CN"/>
              </w:rPr>
              <w:t>与客户</w:t>
            </w:r>
            <w:r>
              <w:rPr>
                <w:rFonts w:hint="eastAsia" w:ascii="宋体" w:hAnsi="宋体"/>
                <w:szCs w:val="21"/>
              </w:rPr>
              <w:t>的沟通，沟通都较为顺畅</w:t>
            </w:r>
            <w:r>
              <w:rPr>
                <w:rFonts w:hint="eastAsia" w:ascii="宋体" w:hAnsi="宋体"/>
                <w:szCs w:val="21"/>
                <w:lang w:eastAsia="zh-CN"/>
              </w:rPr>
              <w:t>。</w:t>
            </w:r>
          </w:p>
          <w:p>
            <w:pPr>
              <w:spacing w:line="240" w:lineRule="exact"/>
              <w:rPr>
                <w:rFonts w:ascii="楷体_GB2312" w:eastAsia="楷体_GB2312"/>
                <w:b/>
                <w:color w:val="000000" w:themeColor="text1"/>
                <w:sz w:val="20"/>
                <w:szCs w:val="20"/>
              </w:rPr>
            </w:pP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r>
              <w:rPr>
                <w:rFonts w:hint="eastAsia" w:ascii="宋体" w:hAnsi="宋体"/>
                <w:szCs w:val="21"/>
              </w:rPr>
              <w:t>外部沟通：电话、面谈、</w:t>
            </w:r>
            <w:r>
              <w:rPr>
                <w:rFonts w:hint="eastAsia" w:ascii="宋体" w:hAnsi="宋体"/>
                <w:szCs w:val="21"/>
                <w:lang w:val="en-US" w:eastAsia="zh-CN"/>
              </w:rPr>
              <w:t>网络</w:t>
            </w:r>
            <w:r>
              <w:rPr>
                <w:rFonts w:hint="eastAsia" w:ascii="宋体" w:hAnsi="宋体"/>
                <w:szCs w:val="21"/>
              </w:rPr>
              <w:t>等，主要与顾客、供方、的沟通，目前各项沟通都较为顺畅</w:t>
            </w:r>
            <w:r>
              <w:rPr>
                <w:rFonts w:hint="eastAsia" w:ascii="宋体" w:hAnsi="宋体"/>
                <w:szCs w:val="21"/>
                <w:lang w:eastAsia="zh-CN"/>
              </w:rPr>
              <w:t>。</w:t>
            </w:r>
          </w:p>
          <w:p>
            <w:pPr>
              <w:keepNext w:val="0"/>
              <w:keepLines w:val="0"/>
              <w:pageBreakBefore w:val="0"/>
              <w:kinsoku/>
              <w:wordWrap/>
              <w:overflowPunct/>
              <w:topLinePunct w:val="0"/>
              <w:bidi w:val="0"/>
              <w:snapToGrid/>
              <w:spacing w:line="360" w:lineRule="exact"/>
              <w:textAlignment w:val="auto"/>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sz w:val="21"/>
                <w:szCs w:val="21"/>
              </w:rPr>
              <w:t>负责向管理层反映职业健康安全管理方面的要求，对事件的调查、处理，职工劳动防护的改善事宜进行协商交流；参与职业安全健康方针、目标、指标、管理方案的制定工作，提出合理化建议</w:t>
            </w:r>
            <w:r>
              <w:rPr>
                <w:rFonts w:hint="eastAsia"/>
                <w:sz w:val="21"/>
                <w:szCs w:val="21"/>
                <w:lang w:eastAsia="zh-CN"/>
              </w:rPr>
              <w:t>。</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r>
              <w:rPr>
                <w:rFonts w:hint="eastAsia" w:ascii="Times New Roman" w:hAnsi="Times New Roman" w:cs="Times New Roman"/>
                <w:sz w:val="21"/>
                <w:szCs w:val="21"/>
                <w:lang w:val="en-US" w:eastAsia="zh-CN"/>
              </w:rPr>
              <w:t>协商沟通良好。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1.</w:t>
            </w:r>
            <w:r>
              <w:rPr>
                <w:rFonts w:hint="eastAsia"/>
                <w:sz w:val="21"/>
                <w:szCs w:val="21"/>
                <w:lang w:val="en-US" w:eastAsia="zh-CN"/>
              </w:rPr>
              <w:t>与顾客有关过程的控制</w:t>
            </w:r>
            <w:r>
              <w:rPr>
                <w:rFonts w:hint="eastAsia"/>
                <w:sz w:val="21"/>
                <w:szCs w:val="21"/>
              </w:rPr>
              <w:t>：主要根据顾客提出的产品</w:t>
            </w:r>
            <w:r>
              <w:rPr>
                <w:rFonts w:hint="eastAsia"/>
                <w:sz w:val="21"/>
                <w:szCs w:val="21"/>
                <w:lang w:val="en-US" w:eastAsia="zh-CN"/>
              </w:rPr>
              <w:t>和服务</w:t>
            </w:r>
            <w:r>
              <w:rPr>
                <w:rFonts w:hint="eastAsia"/>
                <w:sz w:val="21"/>
                <w:szCs w:val="21"/>
              </w:rPr>
              <w:t>要求/标书中明示要求等进行控制，要求进行合同评审确保能满足客户需求，</w:t>
            </w:r>
            <w:r>
              <w:rPr>
                <w:rFonts w:hint="eastAsia" w:ascii="宋体" w:hAnsi="宋体"/>
                <w:color w:val="auto"/>
                <w:kern w:val="2"/>
                <w:sz w:val="21"/>
                <w:szCs w:val="21"/>
                <w:lang w:val="en-US" w:eastAsia="zh-CN" w:bidi="ar-SA"/>
              </w:rPr>
              <w:t>目前控制情况符合要求</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2.采购过程控制：</w:t>
            </w:r>
            <w:r>
              <w:rPr>
                <w:rFonts w:hint="eastAsia"/>
                <w:sz w:val="21"/>
                <w:szCs w:val="21"/>
                <w:lang w:val="en-US" w:eastAsia="zh-CN"/>
              </w:rPr>
              <w:t>主要采购</w:t>
            </w:r>
            <w:r>
              <w:rPr>
                <w:b w:val="0"/>
                <w:bCs w:val="0"/>
                <w:sz w:val="21"/>
                <w:szCs w:val="21"/>
              </w:rPr>
              <w:t>铁路专用产品及机电产品、五金交电</w:t>
            </w:r>
            <w:r>
              <w:rPr>
                <w:rFonts w:hint="eastAsia"/>
                <w:sz w:val="21"/>
                <w:szCs w:val="21"/>
                <w:lang w:val="en-US" w:eastAsia="zh-CN"/>
              </w:rPr>
              <w:t>，</w:t>
            </w:r>
            <w:r>
              <w:rPr>
                <w:rFonts w:hint="eastAsia"/>
                <w:sz w:val="21"/>
                <w:szCs w:val="21"/>
              </w:rPr>
              <w:t>编制采购产品验收规范等作业文件规定采购产品质量要求。</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sz w:val="21"/>
                <w:szCs w:val="21"/>
              </w:rPr>
            </w:pPr>
            <w:r>
              <w:rPr>
                <w:rFonts w:hint="eastAsia"/>
                <w:sz w:val="21"/>
                <w:szCs w:val="21"/>
              </w:rPr>
              <w:t>3.</w:t>
            </w:r>
            <w:r>
              <w:rPr>
                <w:rFonts w:hint="eastAsia"/>
                <w:sz w:val="21"/>
                <w:szCs w:val="21"/>
                <w:lang w:val="en-US" w:eastAsia="zh-CN"/>
              </w:rPr>
              <w:t>产品和服务的放行</w:t>
            </w:r>
            <w:r>
              <w:rPr>
                <w:rFonts w:hint="eastAsia"/>
                <w:sz w:val="21"/>
                <w:szCs w:val="21"/>
              </w:rPr>
              <w:t>：</w:t>
            </w:r>
            <w:r>
              <w:rPr>
                <w:rFonts w:hint="eastAsia"/>
                <w:sz w:val="21"/>
                <w:szCs w:val="21"/>
                <w:lang w:val="en-US" w:eastAsia="zh-CN"/>
              </w:rPr>
              <w:t>根据顾客要求提供服务，提供服务后由顾客确认，并由部门主管对服务质量进行检查</w:t>
            </w:r>
            <w:r>
              <w:rPr>
                <w:rFonts w:hint="eastAsia" w:ascii="宋体" w:cs="宋体"/>
                <w:sz w:val="21"/>
                <w:szCs w:val="21"/>
              </w:rPr>
              <w:t>。</w:t>
            </w:r>
            <w:r>
              <w:rPr>
                <w:rFonts w:hint="eastAsia"/>
                <w:sz w:val="21"/>
                <w:szCs w:val="21"/>
              </w:rPr>
              <w:t>收集顾客的反馈信息，开展顾客满意度调查，体系建立以来未发生顾客投诉事件。</w:t>
            </w:r>
          </w:p>
          <w:p>
            <w:pPr>
              <w:spacing w:line="240" w:lineRule="exact"/>
              <w:rPr>
                <w:b/>
                <w:color w:val="000000" w:themeColor="text1"/>
                <w:sz w:val="20"/>
                <w:szCs w:val="20"/>
              </w:rPr>
            </w:pPr>
            <w:r>
              <w:rPr>
                <w:rFonts w:hint="eastAsia"/>
                <w:sz w:val="21"/>
                <w:szCs w:val="21"/>
                <w:lang w:val="en-US" w:eastAsia="zh-CN"/>
              </w:rPr>
              <w:t>4</w:t>
            </w:r>
            <w:r>
              <w:rPr>
                <w:rFonts w:hint="eastAsia"/>
                <w:sz w:val="21"/>
                <w:szCs w:val="21"/>
              </w:rPr>
              <w:t>.变更的控制：</w:t>
            </w:r>
            <w:r>
              <w:rPr>
                <w:rFonts w:hint="eastAsia"/>
                <w:sz w:val="21"/>
                <w:szCs w:val="21"/>
                <w:lang w:val="en-US" w:eastAsia="zh-CN"/>
              </w:rPr>
              <w:t>销售</w:t>
            </w:r>
            <w:r>
              <w:rPr>
                <w:rFonts w:hint="eastAsia"/>
                <w:sz w:val="21"/>
                <w:szCs w:val="21"/>
              </w:rPr>
              <w:t>合同</w:t>
            </w:r>
            <w:r>
              <w:rPr>
                <w:rFonts w:hint="eastAsia"/>
                <w:sz w:val="21"/>
                <w:szCs w:val="21"/>
                <w:lang w:val="en-US" w:eastAsia="zh-CN"/>
              </w:rPr>
              <w:t>/协议</w:t>
            </w:r>
            <w:r>
              <w:rPr>
                <w:rFonts w:hint="eastAsia"/>
                <w:sz w:val="21"/>
                <w:szCs w:val="21"/>
              </w:rPr>
              <w:t>评审后，按合同要求进行</w:t>
            </w:r>
            <w:r>
              <w:rPr>
                <w:rFonts w:hint="eastAsia"/>
                <w:sz w:val="21"/>
                <w:szCs w:val="21"/>
                <w:lang w:val="en-US" w:eastAsia="zh-CN"/>
              </w:rPr>
              <w:t>采购、配送</w:t>
            </w:r>
            <w:r>
              <w:rPr>
                <w:rFonts w:hint="eastAsia"/>
                <w:sz w:val="21"/>
                <w:szCs w:val="21"/>
              </w:rPr>
              <w:t>并交付</w:t>
            </w:r>
            <w:r>
              <w:rPr>
                <w:rFonts w:hint="eastAsia"/>
                <w:sz w:val="21"/>
                <w:szCs w:val="21"/>
                <w:lang w:eastAsia="zh-CN"/>
              </w:rPr>
              <w:t>。</w:t>
            </w:r>
            <w:r>
              <w:rPr>
                <w:rFonts w:hint="eastAsia"/>
                <w:sz w:val="21"/>
                <w:szCs w:val="21"/>
                <w:lang w:val="en-US" w:eastAsia="zh-CN"/>
              </w:rPr>
              <w:t>现场审核</w:t>
            </w:r>
            <w:r>
              <w:rPr>
                <w:rFonts w:hint="eastAsia"/>
                <w:sz w:val="21"/>
                <w:szCs w:val="21"/>
              </w:rPr>
              <w:t>，目前没有发生对生产和服务提供的更改的情况</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hint="eastAsia" w:ascii="Times New Roman" w:hAnsi="Times New Roman" w:cs="Times New Roman"/>
                <w:sz w:val="21"/>
                <w:szCs w:val="21"/>
              </w:rPr>
            </w:pPr>
            <w:r>
              <w:rPr>
                <w:rFonts w:hint="eastAsia" w:ascii="Times New Roman" w:hAnsi="Times New Roman" w:cs="Times New Roman"/>
                <w:sz w:val="21"/>
                <w:szCs w:val="21"/>
                <w:lang w:val="en-US" w:eastAsia="zh-CN"/>
              </w:rPr>
              <w:t>主要满足客户要求，目前向顾客提供的服务均符合要求。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sz w:val="21"/>
                <w:szCs w:val="21"/>
              </w:rPr>
              <w:t>对于采购产品出现的不合格品均采取纠正、预防措施，杜绝下次再次出现；内审发现的不合格已对原因进行了分析，并制定了纠正措施并实施，验证符合。并提供预防措施，改进、完善有效。对不符合进行了纠正和纠正措施，措施有效</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sz w:val="21"/>
                <w:szCs w:val="21"/>
                <w:lang w:val="en-GB"/>
              </w:rPr>
              <w:t>编制</w:t>
            </w:r>
            <w:r>
              <w:rPr>
                <w:rFonts w:hint="eastAsia" w:ascii="宋体" w:hAnsi="宋体"/>
                <w:color w:val="000000"/>
                <w:szCs w:val="21"/>
              </w:rPr>
              <w:t>环境因素识别与评价控制程序</w:t>
            </w:r>
            <w:r>
              <w:rPr>
                <w:rFonts w:hint="eastAsia" w:ascii="宋体" w:hAnsi="宋体"/>
                <w:color w:val="000000"/>
                <w:szCs w:val="21"/>
                <w:lang w:eastAsia="zh-CN"/>
              </w:rPr>
              <w:t>、</w:t>
            </w:r>
            <w:r>
              <w:rPr>
                <w:rFonts w:hint="eastAsia" w:ascii="宋体" w:hAnsi="宋体" w:cs="Times New Roman"/>
                <w:color w:val="000000"/>
                <w:szCs w:val="21"/>
              </w:rPr>
              <w:t>环境、职业健康安全运行控制程序</w:t>
            </w:r>
            <w:r>
              <w:rPr>
                <w:rFonts w:hint="eastAsia" w:ascii="宋体" w:hAnsi="宋体" w:cs="Times New Roman"/>
                <w:color w:val="000000"/>
                <w:szCs w:val="21"/>
                <w:lang w:eastAsia="zh-CN"/>
              </w:rPr>
              <w:t>、</w:t>
            </w:r>
            <w:r>
              <w:rPr>
                <w:rFonts w:hint="eastAsia" w:cs="宋体"/>
                <w:lang w:val="en-GB"/>
              </w:rPr>
              <w:t>电脑使用管理办法</w:t>
            </w:r>
            <w:r>
              <w:rPr>
                <w:rFonts w:hint="eastAsia"/>
                <w:sz w:val="21"/>
                <w:szCs w:val="21"/>
              </w:rPr>
              <w:t>等，针对各部门所负责的工作，分别对环境运行过程进行控制</w:t>
            </w:r>
            <w:r>
              <w:rPr>
                <w:rFonts w:hint="eastAsia"/>
                <w:sz w:val="21"/>
                <w:szCs w:val="21"/>
                <w:lang w:val="en-GB"/>
              </w:rPr>
              <w:t>，</w:t>
            </w:r>
            <w:r>
              <w:rPr>
                <w:rFonts w:hint="eastAsia"/>
                <w:sz w:val="21"/>
                <w:szCs w:val="21"/>
              </w:rPr>
              <w:t>涉及有固废处置、资源控制、火灾、相关方施加影响等。</w:t>
            </w:r>
            <w:r>
              <w:rPr>
                <w:rFonts w:hint="eastAsia"/>
                <w:sz w:val="21"/>
                <w:szCs w:val="21"/>
                <w:lang w:val="en-US" w:eastAsia="zh-CN"/>
              </w:rPr>
              <w:t>提供有固废处置记录、相关方告知书及发放记录、劳保用品发放记录。抽相关方，未能提供对产品运输外包方</w:t>
            </w:r>
            <w:r>
              <w:rPr>
                <w:rFonts w:hint="eastAsia" w:ascii="方正仿宋简体" w:eastAsia="方正仿宋简体"/>
                <w:b w:val="0"/>
                <w:bCs/>
                <w:lang w:val="en-US" w:eastAsia="zh-CN"/>
              </w:rPr>
              <w:t>进行评价和施加影响的的证据。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5"/>
              </w:numPr>
              <w:spacing w:line="240" w:lineRule="exact"/>
              <w:rPr>
                <w:rFonts w:hint="eastAsia"/>
                <w:b/>
                <w:color w:val="000000" w:themeColor="text1"/>
                <w:sz w:val="20"/>
                <w:szCs w:val="20"/>
              </w:rPr>
            </w:pPr>
            <w:r>
              <w:rPr>
                <w:rFonts w:hint="eastAsia"/>
                <w:b/>
                <w:color w:val="000000" w:themeColor="text1"/>
                <w:sz w:val="20"/>
                <w:szCs w:val="20"/>
              </w:rPr>
              <w:t>OHSMS组织对不可接受风险实施控制的结果</w:t>
            </w:r>
          </w:p>
          <w:p>
            <w:pPr>
              <w:numPr>
                <w:ilvl w:val="0"/>
                <w:numId w:val="0"/>
              </w:numPr>
              <w:spacing w:line="240" w:lineRule="exact"/>
              <w:rPr>
                <w:b/>
                <w:color w:val="000000" w:themeColor="text1"/>
                <w:sz w:val="20"/>
                <w:szCs w:val="20"/>
              </w:rPr>
            </w:pPr>
            <w:r>
              <w:rPr>
                <w:rFonts w:hint="eastAsia"/>
                <w:sz w:val="21"/>
                <w:szCs w:val="21"/>
                <w:lang w:val="en-GB"/>
              </w:rPr>
              <w:t>编制</w:t>
            </w:r>
            <w:r>
              <w:rPr>
                <w:rFonts w:hint="eastAsia" w:ascii="宋体" w:hAnsi="宋体"/>
                <w:color w:val="000000"/>
                <w:szCs w:val="21"/>
              </w:rPr>
              <w:t>危险源识别、风险评价控制程序</w:t>
            </w:r>
            <w:r>
              <w:rPr>
                <w:rFonts w:hint="eastAsia"/>
                <w:sz w:val="21"/>
                <w:szCs w:val="21"/>
                <w:lang w:eastAsia="zh-CN"/>
              </w:rPr>
              <w:t>，</w:t>
            </w:r>
            <w:r>
              <w:rPr>
                <w:rFonts w:hint="eastAsia" w:ascii="宋体" w:hAnsi="宋体" w:cs="Times New Roman"/>
                <w:color w:val="000000"/>
                <w:szCs w:val="21"/>
              </w:rPr>
              <w:t>环境、职业健康安全运行控制程序</w:t>
            </w:r>
            <w:r>
              <w:rPr>
                <w:rFonts w:hint="eastAsia" w:ascii="宋体" w:hAnsi="宋体" w:cs="Times New Roman"/>
                <w:color w:val="000000"/>
                <w:szCs w:val="21"/>
                <w:lang w:eastAsia="zh-CN"/>
              </w:rPr>
              <w:t>、</w:t>
            </w:r>
            <w:r>
              <w:rPr>
                <w:rFonts w:hint="eastAsia" w:cs="宋体"/>
                <w:lang w:val="en-GB"/>
              </w:rPr>
              <w:t>办公室安全管理制度</w:t>
            </w:r>
            <w:r>
              <w:rPr>
                <w:rFonts w:hint="eastAsia" w:cs="宋体"/>
                <w:lang w:val="en-GB" w:eastAsia="zh-CN"/>
              </w:rPr>
              <w:t>，</w:t>
            </w:r>
            <w:r>
              <w:rPr>
                <w:rFonts w:hint="eastAsia" w:cs="宋体"/>
                <w:lang w:val="en-GB"/>
              </w:rPr>
              <w:t>电脑使用管理办法</w:t>
            </w:r>
            <w:r>
              <w:rPr>
                <w:rFonts w:hint="eastAsia"/>
                <w:sz w:val="21"/>
                <w:szCs w:val="21"/>
                <w:lang w:val="en-GB" w:eastAsia="zh-CN"/>
              </w:rPr>
              <w:t>，</w:t>
            </w:r>
            <w:r>
              <w:rPr>
                <w:rFonts w:hint="eastAsia"/>
                <w:sz w:val="21"/>
                <w:szCs w:val="21"/>
                <w:lang w:val="en-GB"/>
              </w:rPr>
              <w:t>服务人员工作规范等，针对各部门所负责的工作，对危险源进行控制</w:t>
            </w:r>
            <w:r>
              <w:rPr>
                <w:rFonts w:hint="eastAsia"/>
                <w:sz w:val="21"/>
                <w:szCs w:val="21"/>
              </w:rPr>
              <w:t>涉及有</w:t>
            </w:r>
            <w:r>
              <w:rPr>
                <w:rFonts w:hint="eastAsia"/>
                <w:sz w:val="21"/>
                <w:szCs w:val="21"/>
                <w:lang w:val="en-GB"/>
              </w:rPr>
              <w:t>火灾、触电、</w:t>
            </w:r>
            <w:r>
              <w:rPr>
                <w:rFonts w:hint="eastAsia"/>
                <w:sz w:val="21"/>
                <w:szCs w:val="21"/>
                <w:lang w:val="en-US" w:eastAsia="zh-CN"/>
              </w:rPr>
              <w:t>机械</w:t>
            </w:r>
            <w:r>
              <w:rPr>
                <w:rFonts w:hint="eastAsia"/>
                <w:sz w:val="21"/>
                <w:szCs w:val="21"/>
                <w:lang w:val="en-GB"/>
              </w:rPr>
              <w:t>伤害</w:t>
            </w:r>
            <w:r>
              <w:rPr>
                <w:rFonts w:hint="eastAsia"/>
                <w:sz w:val="21"/>
                <w:szCs w:val="21"/>
              </w:rPr>
              <w:t>、相关方施加影响等进行控制，具体措施有对员工进行安全教育，发放劳保用品，</w:t>
            </w:r>
            <w:r>
              <w:rPr>
                <w:rFonts w:hint="eastAsia"/>
                <w:sz w:val="21"/>
                <w:szCs w:val="21"/>
                <w:lang w:val="en-US" w:eastAsia="zh-CN"/>
              </w:rPr>
              <w:t>但未能提供对产品运输方</w:t>
            </w:r>
            <w:r>
              <w:rPr>
                <w:rFonts w:hint="eastAsia" w:ascii="方正仿宋简体" w:eastAsia="方正仿宋简体"/>
                <w:b w:val="0"/>
                <w:bCs/>
                <w:lang w:val="en-US" w:eastAsia="zh-CN"/>
              </w:rPr>
              <w:t>施加影响的证据。</w:t>
            </w:r>
            <w:r>
              <w:rPr>
                <w:rFonts w:hint="eastAsia"/>
                <w:sz w:val="21"/>
                <w:szCs w:val="21"/>
              </w:rPr>
              <w:t>办公区配置灭火器等消防设施</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r>
              <w:rPr>
                <w:rFonts w:hint="eastAsia"/>
                <w:sz w:val="21"/>
                <w:szCs w:val="21"/>
                <w:lang w:val="en-GB"/>
              </w:rPr>
              <w:t>编制应急准备和响应控制程序，识别的紧急情况为火灾、触电</w:t>
            </w:r>
            <w:r>
              <w:rPr>
                <w:rFonts w:hint="eastAsia"/>
                <w:sz w:val="21"/>
                <w:szCs w:val="21"/>
                <w:lang w:val="en-GB" w:eastAsia="zh-CN"/>
              </w:rPr>
              <w:t>、</w:t>
            </w:r>
            <w:r>
              <w:rPr>
                <w:rFonts w:hint="eastAsia"/>
                <w:sz w:val="21"/>
                <w:szCs w:val="21"/>
                <w:lang w:val="en-US" w:eastAsia="zh-CN"/>
              </w:rPr>
              <w:t>机械伤害</w:t>
            </w:r>
            <w:r>
              <w:rPr>
                <w:rFonts w:hint="eastAsia"/>
                <w:sz w:val="21"/>
                <w:szCs w:val="21"/>
                <w:lang w:val="en-GB"/>
              </w:rPr>
              <w:t>等。编制了应急预案，组织了消防演练</w:t>
            </w:r>
            <w:r>
              <w:rPr>
                <w:rFonts w:hint="eastAsia"/>
                <w:sz w:val="21"/>
                <w:szCs w:val="21"/>
                <w:lang w:val="en-US" w:eastAsia="zh-CN"/>
              </w:rPr>
              <w:t>演练</w:t>
            </w:r>
            <w:r>
              <w:rPr>
                <w:rFonts w:hint="eastAsia"/>
                <w:sz w:val="21"/>
                <w:szCs w:val="21"/>
                <w:lang w:val="en-GB"/>
              </w:rPr>
              <w:t>，提供了应急预案演练记录。对应急预案进行了评价，可行。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rPr>
            </w:pPr>
            <w:r>
              <w:rPr>
                <w:rFonts w:hint="eastAsia"/>
              </w:rPr>
              <w:t>11 .对危险化学品销售、使用、储存、运输处置，规定的执行力度(必要时);</w:t>
            </w:r>
          </w:p>
          <w:p>
            <w:pPr>
              <w:spacing w:line="240" w:lineRule="exact"/>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5" w:firstLineChars="50"/>
              <w:rPr>
                <w:b/>
                <w:color w:val="000000" w:themeColor="text1"/>
                <w:sz w:val="20"/>
                <w:szCs w:val="20"/>
              </w:rPr>
            </w:pPr>
            <w:r>
              <w:rPr>
                <w:rFonts w:hint="eastAsia"/>
                <w:sz w:val="21"/>
                <w:szCs w:val="21"/>
              </w:rPr>
              <w:t>提供了文件化可分解的目标、指标，经查问分解到各部门，经查阅建立的管理目标符合标准要求，在方针的框架下展开，每季度考核一次，经查目标完成。并制定了管理方案，经查已完成，符合要求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00" w:hanging="105" w:hangingChars="50"/>
              <w:rPr>
                <w:rFonts w:hint="eastAsia" w:ascii="Times New Roman" w:hAnsi="Times New Roman" w:cs="Times New Roman"/>
                <w:sz w:val="21"/>
                <w:szCs w:val="21"/>
                <w:lang w:val="zh-CN"/>
              </w:rPr>
            </w:pPr>
          </w:p>
          <w:p>
            <w:pPr>
              <w:spacing w:line="240" w:lineRule="exact"/>
              <w:ind w:left="100" w:hanging="105" w:hangingChars="50"/>
              <w:rPr>
                <w:b/>
                <w:color w:val="000000" w:themeColor="text1"/>
                <w:sz w:val="20"/>
                <w:szCs w:val="20"/>
              </w:rPr>
            </w:pPr>
            <w:r>
              <w:rPr>
                <w:rFonts w:hint="eastAsia" w:ascii="Times New Roman" w:hAnsi="Times New Roman" w:cs="Times New Roman"/>
                <w:sz w:val="21"/>
                <w:szCs w:val="21"/>
                <w:lang w:val="zh-CN"/>
              </w:rPr>
              <w:t>公司通过电话</w:t>
            </w:r>
            <w:r>
              <w:rPr>
                <w:rFonts w:hint="eastAsia" w:cs="Times New Roman"/>
                <w:sz w:val="21"/>
                <w:szCs w:val="21"/>
                <w:lang w:val="zh-CN"/>
              </w:rPr>
              <w:t>、</w:t>
            </w:r>
            <w:r>
              <w:rPr>
                <w:rFonts w:hint="eastAsia" w:cs="Times New Roman"/>
                <w:sz w:val="21"/>
                <w:szCs w:val="21"/>
                <w:lang w:val="en-US" w:eastAsia="zh-CN"/>
              </w:rPr>
              <w:t>网络、</w:t>
            </w:r>
            <w:r>
              <w:rPr>
                <w:rFonts w:hint="eastAsia" w:ascii="Times New Roman" w:hAnsi="Times New Roman" w:cs="Times New Roman"/>
                <w:sz w:val="21"/>
                <w:szCs w:val="21"/>
                <w:lang w:val="zh-CN"/>
              </w:rPr>
              <w:t>走访等形式，接受顾客反馈，了解顾客顾客满意度信息，发放调查表对顾客满意度进行定量测量。提供“顾客满意度调查表”，调查主要内容：</w:t>
            </w:r>
            <w:r>
              <w:rPr>
                <w:rFonts w:hint="eastAsia" w:cs="宋体"/>
                <w:lang w:val="en-US" w:eastAsia="zh-CN"/>
              </w:rPr>
              <w:t>产品功能、维修服务、质量、外观、价格</w:t>
            </w:r>
            <w:r>
              <w:rPr>
                <w:rFonts w:hint="eastAsia" w:ascii="Times New Roman" w:hAnsi="Times New Roman" w:cs="Times New Roman"/>
                <w:sz w:val="21"/>
                <w:szCs w:val="21"/>
              </w:rPr>
              <w:t>等方面的满意程度</w:t>
            </w:r>
            <w:r>
              <w:rPr>
                <w:rFonts w:hint="eastAsia" w:ascii="Times New Roman" w:hAnsi="Times New Roman" w:cs="Times New Roman"/>
                <w:sz w:val="21"/>
                <w:szCs w:val="21"/>
                <w:lang w:val="zh-CN"/>
              </w:rPr>
              <w:t>等，</w:t>
            </w:r>
            <w:r>
              <w:rPr>
                <w:rFonts w:hint="eastAsia" w:ascii="Times New Roman" w:hAnsi="Times New Roman" w:cs="Times New Roman"/>
                <w:sz w:val="21"/>
                <w:szCs w:val="21"/>
                <w:lang w:val="en-US" w:eastAsia="zh-CN"/>
              </w:rPr>
              <w:t>根据</w:t>
            </w:r>
            <w:r>
              <w:rPr>
                <w:rFonts w:hint="eastAsia" w:ascii="Times New Roman" w:hAnsi="Times New Roman" w:cs="Times New Roman"/>
                <w:sz w:val="21"/>
                <w:szCs w:val="21"/>
              </w:rPr>
              <w:t>各项得分</w:t>
            </w:r>
            <w:r>
              <w:rPr>
                <w:rFonts w:hint="eastAsia" w:ascii="Times New Roman" w:hAnsi="Times New Roman" w:cs="Times New Roman"/>
                <w:sz w:val="21"/>
                <w:szCs w:val="21"/>
                <w:lang w:val="en-US" w:eastAsia="zh-CN"/>
              </w:rPr>
              <w:t>算出</w:t>
            </w:r>
            <w:r>
              <w:rPr>
                <w:rFonts w:hint="eastAsia" w:ascii="Times New Roman" w:hAnsi="Times New Roman" w:cs="Times New Roman"/>
                <w:sz w:val="21"/>
                <w:szCs w:val="21"/>
              </w:rPr>
              <w:t>最终结果</w:t>
            </w:r>
            <w:r>
              <w:rPr>
                <w:rFonts w:hint="eastAsia" w:ascii="Times New Roman" w:hAnsi="Times New Roman" w:cs="Times New Roman"/>
                <w:sz w:val="21"/>
                <w:szCs w:val="21"/>
                <w:lang w:val="zh-CN"/>
              </w:rPr>
              <w:t>，</w:t>
            </w:r>
            <w:r>
              <w:rPr>
                <w:rFonts w:hint="eastAsia" w:cs="Times New Roman"/>
                <w:sz w:val="21"/>
                <w:szCs w:val="21"/>
                <w:lang w:val="en-US" w:eastAsia="zh-CN"/>
              </w:rPr>
              <w:t>得出</w:t>
            </w:r>
            <w:r>
              <w:rPr>
                <w:rFonts w:hint="eastAsia" w:ascii="Times New Roman" w:hAnsi="Times New Roman" w:cs="Times New Roman"/>
                <w:sz w:val="21"/>
                <w:szCs w:val="21"/>
              </w:rPr>
              <w:t>顾客满意率</w:t>
            </w:r>
            <w:r>
              <w:rPr>
                <w:rFonts w:hint="eastAsia" w:cs="Times New Roman"/>
                <w:sz w:val="21"/>
                <w:szCs w:val="21"/>
                <w:lang w:val="en-US" w:eastAsia="zh-CN"/>
              </w:rPr>
              <w:t>97</w:t>
            </w:r>
            <w:r>
              <w:rPr>
                <w:rFonts w:hint="eastAsia" w:ascii="Times New Roman" w:hAnsi="Times New Roman" w:cs="Times New Roman"/>
                <w:sz w:val="21"/>
                <w:szCs w:val="21"/>
              </w:rPr>
              <w:t>%</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z w:val="20"/>
                <w:szCs w:val="20"/>
              </w:rPr>
            </w:pPr>
            <w:r>
              <w:rPr>
                <w:rFonts w:hint="eastAsia"/>
                <w:sz w:val="21"/>
                <w:szCs w:val="21"/>
              </w:rPr>
              <w:t>按照策划的安排于</w:t>
            </w:r>
            <w:r>
              <w:t>20</w:t>
            </w:r>
            <w:r>
              <w:rPr>
                <w:rFonts w:hint="eastAsia"/>
                <w:lang w:val="en-US" w:eastAsia="zh-CN"/>
              </w:rPr>
              <w:t>20年9月10-11日</w:t>
            </w:r>
            <w:r>
              <w:rPr>
                <w:rFonts w:hint="eastAsia"/>
                <w:sz w:val="21"/>
                <w:szCs w:val="21"/>
              </w:rPr>
              <w:t>进行了一次集中式的内部审核，经查阅资料及与管代沟通，内审员没有审核自己的工作，查阅内审记录，符合策划安排，提出</w:t>
            </w:r>
            <w:r>
              <w:rPr>
                <w:rFonts w:hint="eastAsia"/>
                <w:sz w:val="21"/>
                <w:szCs w:val="21"/>
                <w:lang w:val="en-US" w:eastAsia="zh-CN"/>
              </w:rPr>
              <w:t>1</w:t>
            </w:r>
            <w:r>
              <w:rPr>
                <w:rFonts w:hint="eastAsia"/>
                <w:sz w:val="21"/>
                <w:szCs w:val="21"/>
              </w:rPr>
              <w:t>项不符合，责任部门进行了分析原因、采取纠正/纠正措施并验证了有效性，内审报告中对管理体系的符合性、充分性和运行有效性进行了评价。内审符合要求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sz w:val="21"/>
                <w:szCs w:val="21"/>
              </w:rPr>
              <w:t>按照策划的安排于</w:t>
            </w:r>
            <w:r>
              <w:t>20</w:t>
            </w:r>
            <w:r>
              <w:rPr>
                <w:rFonts w:hint="eastAsia"/>
                <w:lang w:val="en-US" w:eastAsia="zh-CN"/>
              </w:rPr>
              <w:t>20</w:t>
            </w:r>
            <w:r>
              <w:rPr>
                <w:rFonts w:hint="eastAsia" w:cs="宋体"/>
              </w:rPr>
              <w:t>年</w:t>
            </w:r>
            <w:r>
              <w:rPr>
                <w:rFonts w:hint="eastAsia" w:cs="宋体"/>
                <w:lang w:val="en-US" w:eastAsia="zh-CN"/>
              </w:rPr>
              <w:t>9</w:t>
            </w:r>
            <w:r>
              <w:rPr>
                <w:rFonts w:hint="eastAsia" w:cs="宋体"/>
              </w:rPr>
              <w:t>月</w:t>
            </w:r>
            <w:r>
              <w:rPr>
                <w:rFonts w:hint="eastAsia" w:cs="宋体"/>
                <w:lang w:val="en-US" w:eastAsia="zh-CN"/>
              </w:rPr>
              <w:t>20</w:t>
            </w:r>
            <w:r>
              <w:rPr>
                <w:rFonts w:hint="eastAsia" w:cs="宋体"/>
              </w:rPr>
              <w:t>日</w:t>
            </w:r>
            <w:r>
              <w:rPr>
                <w:rFonts w:hint="eastAsia"/>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6"/>
              </w:numPr>
              <w:spacing w:line="240" w:lineRule="exact"/>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numPr>
                <w:ilvl w:val="0"/>
                <w:numId w:val="0"/>
              </w:numPr>
              <w:spacing w:line="240" w:lineRule="exact"/>
              <w:rPr>
                <w:rFonts w:hint="eastAsia"/>
                <w:b/>
                <w:color w:val="000000" w:themeColor="text1"/>
                <w:sz w:val="20"/>
                <w:szCs w:val="20"/>
                <w:lang w:val="en-US" w:eastAsia="zh-CN"/>
              </w:rPr>
            </w:pPr>
          </w:p>
          <w:p>
            <w:pPr>
              <w:numPr>
                <w:ilvl w:val="0"/>
                <w:numId w:val="0"/>
              </w:num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eastAsia="宋体"/>
                <w:b/>
                <w:color w:val="000000" w:themeColor="text1"/>
                <w:sz w:val="20"/>
                <w:szCs w:val="20"/>
                <w:lang w:val="en-US" w:eastAsia="zh-CN"/>
              </w:rPr>
            </w:pPr>
            <w:r>
              <w:rPr>
                <w:rFonts w:hint="eastAsia"/>
                <w:b/>
                <w:color w:val="000000" w:themeColor="text1"/>
                <w:sz w:val="20"/>
                <w:szCs w:val="20"/>
              </w:rPr>
              <w:t>9. 其他能够标明组织绩效、信誉的证据/信息：</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及改进要求，进行原因分析，制定了具体措施，目前</w:t>
            </w:r>
            <w:r>
              <w:rPr>
                <w:rFonts w:hint="eastAsia"/>
                <w:sz w:val="21"/>
                <w:szCs w:val="21"/>
                <w:lang w:val="en-US" w:eastAsia="zh-CN"/>
              </w:rPr>
              <w:t>已</w:t>
            </w:r>
            <w:r>
              <w:rPr>
                <w:rFonts w:hint="eastAsia"/>
                <w:sz w:val="21"/>
                <w:szCs w:val="21"/>
              </w:rPr>
              <w:t>实施</w:t>
            </w:r>
            <w:r>
              <w:rPr>
                <w:rFonts w:hint="eastAsia"/>
                <w:sz w:val="21"/>
                <w:szCs w:val="21"/>
                <w:lang w:val="en-US" w:eastAsia="zh-CN"/>
              </w:rPr>
              <w:t>完成</w:t>
            </w:r>
            <w:r>
              <w:rPr>
                <w:rFonts w:hint="eastAsia"/>
                <w:sz w:val="21"/>
                <w:szCs w:val="21"/>
              </w:rPr>
              <w:t>。</w:t>
            </w:r>
            <w:r>
              <w:rPr>
                <w:rFonts w:hint="eastAsia"/>
                <w:sz w:val="21"/>
                <w:szCs w:val="21"/>
                <w:lang w:eastAsia="zh-CN"/>
              </w:rPr>
              <w:t>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ascii="Times New Roman" w:hAnsi="Times New Roman" w:cs="Times New Roman"/>
                <w:b/>
                <w:color w:val="000000" w:themeColor="text1"/>
                <w:sz w:val="20"/>
                <w:szCs w:val="20"/>
                <w:lang w:val="en-US" w:eastAsia="zh-CN"/>
              </w:rPr>
              <w:t>已整改，一阶段不符合“未将公司环境、职业健康安全方面的要求告知供方”，采购部进行了原因分析、并制定了纠正措施，并经审核员验证确认，符合要求。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default" w:eastAsia="宋体"/>
                <w:b/>
                <w:color w:val="000000" w:themeColor="text1"/>
                <w:sz w:val="20"/>
                <w:szCs w:val="20"/>
                <w:lang w:val="en-US" w:eastAsia="zh-CN"/>
              </w:rPr>
            </w:pPr>
            <w:r>
              <w:rPr>
                <w:rFonts w:hint="eastAsia"/>
                <w:b/>
                <w:color w:val="000000" w:themeColor="text1"/>
                <w:sz w:val="20"/>
                <w:szCs w:val="20"/>
              </w:rPr>
              <w:t>4.创新情况</w:t>
            </w:r>
            <w:r>
              <w:rPr>
                <w:rFonts w:hint="eastAsia"/>
                <w:b/>
                <w:color w:val="000000" w:themeColor="text1"/>
                <w:sz w:val="20"/>
                <w:szCs w:val="20"/>
                <w:lang w:eastAsia="zh-CN"/>
              </w:rPr>
              <w:t>：</w:t>
            </w: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项，分布在</w:t>
      </w:r>
      <w:r>
        <w:rPr>
          <w:rFonts w:hint="eastAsia"/>
          <w:b/>
          <w:color w:val="000000" w:themeColor="text1"/>
          <w:lang w:val="en-US" w:eastAsia="zh-CN"/>
        </w:rPr>
        <w:t>办公室</w:t>
      </w:r>
      <w:r>
        <w:rPr>
          <w:rFonts w:hint="eastAsia"/>
          <w:b/>
          <w:color w:val="000000" w:themeColor="text1"/>
        </w:rPr>
        <w:t>的GB/T19001-2016标准的</w:t>
      </w:r>
      <w:r>
        <w:rPr>
          <w:rFonts w:hint="eastAsia"/>
          <w:b/>
          <w:color w:val="000000" w:themeColor="text1"/>
          <w:lang w:val="en-US" w:eastAsia="zh-CN"/>
        </w:rPr>
        <w:t>8.4.1</w:t>
      </w:r>
      <w:r>
        <w:rPr>
          <w:rFonts w:hint="eastAsia"/>
          <w:b/>
          <w:color w:val="000000" w:themeColor="text1"/>
        </w:rPr>
        <w:t>条款，GB/T24001-2016标准的</w:t>
      </w:r>
      <w:r>
        <w:rPr>
          <w:rFonts w:hint="eastAsia"/>
          <w:b/>
          <w:color w:val="000000" w:themeColor="text1"/>
          <w:lang w:val="en-US" w:eastAsia="zh-CN"/>
        </w:rPr>
        <w:t>8.1</w:t>
      </w:r>
      <w:r>
        <w:rPr>
          <w:rFonts w:hint="eastAsia"/>
          <w:b/>
          <w:color w:val="000000" w:themeColor="text1"/>
        </w:rPr>
        <w:t>条款，</w:t>
      </w:r>
      <w:r>
        <w:rPr>
          <w:rFonts w:hint="eastAsia"/>
          <w:b/>
          <w:color w:val="000000" w:themeColor="text1"/>
          <w:lang w:val="en-US" w:eastAsia="zh-CN"/>
        </w:rPr>
        <w:t>GB/T45001-2020</w:t>
      </w:r>
      <w:r>
        <w:rPr>
          <w:rFonts w:hint="eastAsia"/>
          <w:b/>
          <w:color w:val="000000" w:themeColor="text1"/>
        </w:rPr>
        <w:t>标准的</w:t>
      </w:r>
      <w:r>
        <w:rPr>
          <w:rFonts w:hint="eastAsia"/>
          <w:b/>
          <w:color w:val="000000" w:themeColor="text1"/>
          <w:lang w:val="en-US" w:eastAsia="zh-CN"/>
        </w:rPr>
        <w:t>8.1.4</w:t>
      </w:r>
      <w:r>
        <w:rPr>
          <w:rFonts w:hint="eastAsia"/>
          <w:b/>
          <w:color w:val="000000" w:themeColor="text1"/>
        </w:rPr>
        <w:t>条款</w:t>
      </w:r>
      <w:r>
        <w:rPr>
          <w:rFonts w:hint="eastAsia"/>
          <w:b/>
          <w:color w:val="000000" w:themeColor="text1"/>
          <w:lang w:eastAsia="zh-CN"/>
        </w:rPr>
        <w:t>。</w:t>
      </w:r>
      <w:r>
        <w:rPr>
          <w:rFonts w:hint="eastAsia"/>
          <w:b/>
          <w:color w:val="000000" w:themeColor="text1"/>
        </w:rPr>
        <w:t>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40" w:lineRule="exact"/>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OHSMS持续的符合性及运行的有效性，以及与认证范围的持续相关性和适宜性及自我完善机制等。</w:t>
            </w:r>
          </w:p>
          <w:p>
            <w:pPr>
              <w:pStyle w:val="16"/>
              <w:keepNext w:val="0"/>
              <w:keepLines w:val="0"/>
              <w:pageBreakBefore w:val="0"/>
              <w:widowControl w:val="0"/>
              <w:kinsoku/>
              <w:wordWrap/>
              <w:overflowPunct/>
              <w:topLinePunct w:val="0"/>
              <w:bidi w:val="0"/>
              <w:snapToGrid/>
              <w:spacing w:line="340" w:lineRule="exact"/>
              <w:ind w:right="0" w:rightChars="0"/>
              <w:outlineLvl w:val="9"/>
              <w:rPr>
                <w:rFonts w:hint="eastAsia"/>
                <w:b/>
                <w:color w:val="000000" w:themeColor="text1"/>
                <w:sz w:val="22"/>
                <w:szCs w:val="2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lang w:val="en-US"/>
              </w:rPr>
            </w:pPr>
            <w:r>
              <w:rPr>
                <w:rFonts w:hint="eastAsia" w:ascii="Times New Roman" w:hAnsi="Times New Roman" w:cs="Times New Roman"/>
                <w:sz w:val="21"/>
                <w:szCs w:val="21"/>
              </w:rPr>
              <w:t>在</w:t>
            </w:r>
            <w:r>
              <w:rPr>
                <w:rFonts w:hint="eastAsia" w:ascii="Times New Roman" w:hAnsi="Times New Roman" w:cs="Times New Roman"/>
                <w:sz w:val="21"/>
                <w:szCs w:val="21"/>
                <w:lang w:val="en-US" w:eastAsia="zh-CN"/>
              </w:rPr>
              <w:t>本次审核</w:t>
            </w:r>
            <w:r>
              <w:rPr>
                <w:rFonts w:hint="eastAsia" w:ascii="Times New Roman" w:hAnsi="Times New Roman" w:cs="Times New Roman"/>
                <w:sz w:val="21"/>
                <w:szCs w:val="21"/>
              </w:rPr>
              <w:t>周期内</w:t>
            </w:r>
            <w:r>
              <w:rPr>
                <w:rFonts w:hint="eastAsia" w:ascii="Times New Roman" w:hAnsi="Times New Roman" w:cs="Times New Roman"/>
                <w:sz w:val="21"/>
                <w:szCs w:val="21"/>
                <w:lang w:val="en-US" w:eastAsia="zh-CN"/>
              </w:rPr>
              <w:t>河北鸿赛科技有限公司的QEO</w:t>
            </w:r>
            <w:r>
              <w:rPr>
                <w:rFonts w:hint="eastAsia" w:ascii="Times New Roman" w:hAnsi="Times New Roman" w:cs="Times New Roman"/>
                <w:sz w:val="21"/>
                <w:szCs w:val="21"/>
              </w:rPr>
              <w:t>管理体系</w:t>
            </w:r>
            <w:r>
              <w:rPr>
                <w:rFonts w:hint="eastAsia" w:ascii="Times New Roman" w:hAnsi="Times New Roman" w:cs="Times New Roman"/>
                <w:sz w:val="21"/>
                <w:szCs w:val="21"/>
                <w:lang w:val="en-US" w:eastAsia="zh-CN"/>
              </w:rPr>
              <w:t>能够实现</w:t>
            </w:r>
            <w:r>
              <w:rPr>
                <w:rFonts w:hint="eastAsia" w:ascii="Times New Roman" w:hAnsi="Times New Roman" w:cs="Times New Roman"/>
                <w:sz w:val="21"/>
                <w:szCs w:val="21"/>
              </w:rPr>
              <w:t>持续对过程</w:t>
            </w:r>
            <w:r>
              <w:rPr>
                <w:rFonts w:hint="eastAsia" w:cs="Times New Roman"/>
                <w:sz w:val="21"/>
                <w:szCs w:val="21"/>
                <w:lang w:val="en-US" w:eastAsia="zh-CN"/>
              </w:rPr>
              <w:t>的有效控</w:t>
            </w:r>
            <w:r>
              <w:rPr>
                <w:rFonts w:hint="eastAsia" w:ascii="Times New Roman" w:hAnsi="Times New Roman" w:cs="Times New Roman"/>
                <w:sz w:val="21"/>
                <w:szCs w:val="21"/>
              </w:rPr>
              <w:t>制，</w:t>
            </w:r>
            <w:r>
              <w:rPr>
                <w:rFonts w:hint="eastAsia" w:cs="Times New Roman"/>
                <w:sz w:val="21"/>
                <w:szCs w:val="21"/>
                <w:lang w:val="en-US" w:eastAsia="zh-CN"/>
              </w:rPr>
              <w:t>可以</w:t>
            </w:r>
            <w:r>
              <w:rPr>
                <w:rFonts w:hint="eastAsia" w:ascii="Times New Roman" w:hAnsi="Times New Roman" w:cs="Times New Roman"/>
                <w:sz w:val="21"/>
                <w:szCs w:val="21"/>
              </w:rPr>
              <w:t>持续满足标准要求</w:t>
            </w:r>
            <w:r>
              <w:rPr>
                <w:rFonts w:hint="eastAsia" w:cs="Times New Roman"/>
                <w:sz w:val="21"/>
                <w:szCs w:val="21"/>
                <w:lang w:eastAsia="zh-CN"/>
              </w:rPr>
              <w:t>，</w:t>
            </w:r>
            <w:r>
              <w:rPr>
                <w:rFonts w:hint="eastAsia" w:ascii="Times New Roman" w:hAnsi="Times New Roman" w:cs="Times New Roman"/>
                <w:sz w:val="21"/>
                <w:szCs w:val="21"/>
              </w:rPr>
              <w:t>目标</w:t>
            </w:r>
            <w:r>
              <w:rPr>
                <w:rFonts w:hint="eastAsia" w:cs="Times New Roman"/>
                <w:sz w:val="21"/>
                <w:szCs w:val="21"/>
                <w:lang w:val="en-US" w:eastAsia="zh-CN"/>
              </w:rPr>
              <w:t>指标完成情况较好，可以持续</w:t>
            </w:r>
            <w:r>
              <w:rPr>
                <w:rFonts w:hint="eastAsia" w:ascii="Times New Roman" w:hAnsi="Times New Roman" w:cs="Times New Roman"/>
                <w:sz w:val="21"/>
                <w:szCs w:val="21"/>
              </w:rPr>
              <w:t>向</w:t>
            </w:r>
            <w:r>
              <w:rPr>
                <w:rFonts w:hint="eastAsia" w:ascii="Times New Roman" w:hAnsi="Times New Roman" w:cs="Times New Roman"/>
                <w:sz w:val="21"/>
                <w:szCs w:val="21"/>
                <w:lang w:val="en-US" w:eastAsia="zh-CN"/>
              </w:rPr>
              <w:t>客户提供符合要求的产品和服务。</w:t>
            </w:r>
            <w:r>
              <w:rPr>
                <w:rFonts w:hint="eastAsia" w:ascii="Times New Roman" w:hAnsi="Times New Roman" w:cs="Times New Roman"/>
                <w:sz w:val="21"/>
                <w:szCs w:val="21"/>
              </w:rPr>
              <w:t>策划的活动</w:t>
            </w:r>
            <w:r>
              <w:rPr>
                <w:rFonts w:hint="eastAsia" w:cs="Times New Roman"/>
                <w:sz w:val="21"/>
                <w:szCs w:val="21"/>
                <w:lang w:val="en-US" w:eastAsia="zh-CN"/>
              </w:rPr>
              <w:t>满足质量环境职业健康安全相关的法律法规要求</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河北鸿赛科技有限公司经营过程不涉及危险化学品，安全风险相对较低，企业无生产加工过程，无生产性三废排放，环境风险较低，对周边环境的影响较低。</w:t>
            </w:r>
          </w:p>
          <w:p>
            <w:pPr>
              <w:spacing w:line="280" w:lineRule="exact"/>
              <w:ind w:left="221" w:hanging="221" w:hangingChars="100"/>
              <w:rPr>
                <w:b/>
                <w:color w:val="000000" w:themeColor="text1"/>
                <w:sz w:val="22"/>
                <w:szCs w:val="22"/>
              </w:rPr>
            </w:pPr>
          </w:p>
          <w:p>
            <w:pPr>
              <w:spacing w:line="240" w:lineRule="exact"/>
              <w:rPr>
                <w:rFonts w:hint="default" w:eastAsia="宋体"/>
                <w:b/>
                <w:color w:val="000000" w:themeColor="text1"/>
                <w:sz w:val="28"/>
                <w:szCs w:val="28"/>
                <w:lang w:val="en-US" w:eastAsia="zh-CN"/>
              </w:rPr>
            </w:pPr>
            <w:r>
              <w:rPr>
                <w:rFonts w:hint="eastAsia" w:ascii="Times New Roman" w:hAnsi="Times New Roman" w:cs="Times New Roman"/>
                <w:sz w:val="21"/>
                <w:szCs w:val="21"/>
                <w:lang w:val="en-US" w:eastAsia="zh-CN"/>
              </w:rPr>
              <w:t>通过审核认为该企业的质量、环境、职业健康安全管理体系运行有效。</w:t>
            </w: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drawing>
          <wp:inline distT="0" distB="0" distL="114300" distR="114300">
            <wp:extent cx="5266055" cy="7883525"/>
            <wp:effectExtent l="0" t="0" r="4445" b="3175"/>
            <wp:docPr id="7" name="图片 7" descr="审核报告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审核报告1"/>
                    <pic:cNvPicPr>
                      <a:picLocks noChangeAspect="1"/>
                    </pic:cNvPicPr>
                  </pic:nvPicPr>
                  <pic:blipFill>
                    <a:blip r:embed="rId6"/>
                    <a:stretch>
                      <a:fillRect/>
                    </a:stretch>
                  </pic:blipFill>
                  <pic:spPr>
                    <a:xfrm>
                      <a:off x="0" y="0"/>
                      <a:ext cx="5266055" cy="7883525"/>
                    </a:xfrm>
                    <a:prstGeom prst="rect">
                      <a:avLst/>
                    </a:prstGeom>
                  </pic:spPr>
                </pic:pic>
              </a:graphicData>
            </a:graphic>
          </wp:inline>
        </w:drawing>
      </w:r>
      <w:r>
        <w:rPr>
          <w:rFonts w:hint="eastAsia"/>
          <w:b/>
          <w:color w:val="000000" w:themeColor="text1"/>
          <w:sz w:val="26"/>
          <w:szCs w:val="26"/>
        </w:rPr>
        <w:t>十</w:t>
      </w:r>
    </w:p>
    <w:p>
      <w:pPr>
        <w:spacing w:before="156" w:beforeLines="50" w:after="156" w:afterLines="50"/>
        <w:ind w:left="1" w:leftChars="-405" w:hanging="851" w:hangingChars="326"/>
        <w:rPr>
          <w:rFonts w:hint="eastAsia"/>
          <w:b/>
          <w:color w:val="000000" w:themeColor="text1"/>
          <w:sz w:val="26"/>
          <w:szCs w:val="26"/>
        </w:rPr>
      </w:pPr>
    </w:p>
    <w:p>
      <w:pPr>
        <w:spacing w:after="156" w:afterLines="50"/>
        <w:ind w:left="101" w:leftChars="-202" w:hanging="525" w:hangingChars="201"/>
        <w:rPr>
          <w:rFonts w:ascii="宋体" w:hAnsi="宋体"/>
          <w:b/>
          <w:color w:val="000000" w:themeColor="text1"/>
          <w:szCs w:val="21"/>
        </w:rPr>
      </w:pPr>
      <w:r>
        <w:rPr>
          <w:rFonts w:hint="eastAsia"/>
          <w:b/>
          <w:color w:val="000000" w:themeColor="text1"/>
          <w:sz w:val="26"/>
          <w:szCs w:val="26"/>
        </w:rPr>
        <w:drawing>
          <wp:inline distT="0" distB="0" distL="114300" distR="114300">
            <wp:extent cx="5268595" cy="8086725"/>
            <wp:effectExtent l="0" t="0" r="1905" b="3175"/>
            <wp:docPr id="8" name="图片 8" descr="审核报告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审核报告2"/>
                    <pic:cNvPicPr>
                      <a:picLocks noChangeAspect="1"/>
                    </pic:cNvPicPr>
                  </pic:nvPicPr>
                  <pic:blipFill>
                    <a:blip r:embed="rId7"/>
                    <a:stretch>
                      <a:fillRect/>
                    </a:stretch>
                  </pic:blipFill>
                  <pic:spPr>
                    <a:xfrm>
                      <a:off x="0" y="0"/>
                      <a:ext cx="5268595" cy="8086725"/>
                    </a:xfrm>
                    <a:prstGeom prst="rect">
                      <a:avLst/>
                    </a:prstGeom>
                  </pic:spPr>
                </pic:pic>
              </a:graphicData>
            </a:graphic>
          </wp:inline>
        </w:drawing>
      </w:r>
      <w:r>
        <w:rPr>
          <w:rFonts w:hint="eastAsia"/>
          <w:b/>
          <w:color w:val="000000" w:themeColor="text1"/>
          <w:sz w:val="26"/>
          <w:szCs w:val="26"/>
        </w:rPr>
        <w:t>十</w:t>
      </w:r>
    </w:p>
    <w:p>
      <w:pPr>
        <w:spacing w:line="360" w:lineRule="auto"/>
        <w:ind w:left="-163" w:leftChars="-405" w:hanging="687" w:hangingChars="326"/>
        <w:rPr>
          <w:rFonts w:hint="eastAsia"/>
          <w:b/>
          <w:bCs/>
          <w:color w:val="000000" w:themeColor="text1"/>
          <w:szCs w:val="21"/>
        </w:rPr>
      </w:pP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1"/>
  </w:p>
  <w:p>
    <w:pPr>
      <w:pStyle w:val="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37410A"/>
    <w:multiLevelType w:val="singleLevel"/>
    <w:tmpl w:val="8537410A"/>
    <w:lvl w:ilvl="0" w:tentative="0">
      <w:start w:val="2"/>
      <w:numFmt w:val="decimal"/>
      <w:suff w:val="nothing"/>
      <w:lvlText w:val="%1、"/>
      <w:lvlJc w:val="left"/>
    </w:lvl>
  </w:abstractNum>
  <w:abstractNum w:abstractNumId="1">
    <w:nsid w:val="E9A10049"/>
    <w:multiLevelType w:val="singleLevel"/>
    <w:tmpl w:val="E9A10049"/>
    <w:lvl w:ilvl="0" w:tentative="0">
      <w:start w:val="1"/>
      <w:numFmt w:val="decimal"/>
      <w:suff w:val="nothing"/>
      <w:lvlText w:val="%1、"/>
      <w:lvlJc w:val="left"/>
    </w:lvl>
  </w:abstractNum>
  <w:abstractNum w:abstractNumId="2">
    <w:nsid w:val="2F232389"/>
    <w:multiLevelType w:val="singleLevel"/>
    <w:tmpl w:val="2F232389"/>
    <w:lvl w:ilvl="0" w:tentative="0">
      <w:start w:val="5"/>
      <w:numFmt w:val="decimal"/>
      <w:suff w:val="space"/>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D4D62C8"/>
    <w:multiLevelType w:val="singleLevel"/>
    <w:tmpl w:val="7D4D62C8"/>
    <w:lvl w:ilvl="0" w:tentative="0">
      <w:start w:val="8"/>
      <w:numFmt w:val="decimal"/>
      <w:suff w:val="space"/>
      <w:lvlText w:val="%1."/>
      <w:lvlJc w:val="left"/>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0C1C51"/>
    <w:rsid w:val="0FC7693D"/>
    <w:rsid w:val="38127906"/>
    <w:rsid w:val="39256D5D"/>
    <w:rsid w:val="53990B87"/>
    <w:rsid w:val="7C3876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3"/>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2"/>
    <w:qFormat/>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 w:type="character" w:customStyle="1" w:styleId="14">
    <w:name w:val="页眉 Char"/>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6</TotalTime>
  <ScaleCrop>false</ScaleCrop>
  <LinksUpToDate>false</LinksUpToDate>
  <CharactersWithSpaces>5143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2021-01-03T02:35:13Z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