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63"/>
        <w:gridCol w:w="370"/>
        <w:gridCol w:w="2170"/>
        <w:gridCol w:w="870"/>
        <w:gridCol w:w="580"/>
        <w:gridCol w:w="840"/>
        <w:gridCol w:w="85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0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原材料碳成分检测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8" w:type="dxa"/>
            <w:vAlign w:val="center"/>
          </w:tcPr>
          <w:p>
            <w:pPr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△</w:t>
            </w:r>
            <w:r>
              <w:rPr>
                <w:rFonts w:hint="eastAsia" w:ascii="宋体" w:hAnsi="宋体"/>
                <w:vertAlign w:val="subscript"/>
              </w:rPr>
              <w:t>允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17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hAnsi="宋体"/>
                <w:lang w:val="en-US" w:eastAsia="zh-CN"/>
              </w:rPr>
              <w:t xml:space="preserve">±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0.03%</w:t>
            </w:r>
          </w:p>
        </w:tc>
        <w:tc>
          <w:tcPr>
            <w:tcW w:w="145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5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3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22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CS-8820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红外碳硫分析仪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黑体" w:hAnsi="黑体" w:eastAsia="黑体"/>
              </w:rPr>
              <w:t>(0.00001-10.0000)%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bCs/>
                <w:color w:val="000000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lang w:val="en-US" w:eastAsia="zh-CN"/>
              </w:rPr>
              <w:t>0.010%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73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MD/HJ-JS-III01-2019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MD/HJ-JS-III01-2019《原材料碳成分检测过程控制规范》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）℃，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相对湿度：小于75%HRC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t>张娜娜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方法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原材料碳硫成分检测过</w:t>
            </w:r>
            <w:r>
              <w:rPr>
                <w:rFonts w:hint="eastAsia" w:ascii="Times New Roman" w:hAnsi="Times New Roman" w:cs="Times New Roman"/>
              </w:rPr>
              <w:t>程有效性确认记录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80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原材料碳硫成分检测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40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2020-12-26T07:16:40Z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