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吉洁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302224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EMS-302224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OHSMS-302224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14.01.02,14.02.01,18.01.03,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14.01.02,14.02.01,18.01.03,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14.01.02,14.02.01,18.01.03,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2240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周文廷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124488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14.01.02,14.02.01,18.01.03,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44880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河北华泰复合管道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衡水市胜利东路286号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53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衡水市胜利东路286号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53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衡水市胜利东路286号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53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葛勇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8331829999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葛占华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周文廷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1年01月18日 上午至2021年01月18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14.01.02;14.02.01;18.01.03;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14.01.02;14.02.01;18.01.03;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14.01.02;14.02.01;18.01.03;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