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受审核方：陕西华骏机械制造有限责任公司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10"/>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2018-N1EMS-1222792</w:t>
            </w:r>
          </w:p>
        </w:tc>
        <w:tc>
          <w:tcPr>
            <w:tcW w:w="1728" w:type="dxa"/>
            <w:gridSpan w:val="2"/>
            <w:vAlign w:val="center"/>
          </w:tcPr>
          <w:p>
            <w:pPr>
              <w:jc w:val="center"/>
              <w:rPr>
                <w:b/>
                <w:sz w:val="21"/>
                <w:szCs w:val="21"/>
              </w:rPr>
            </w:pPr>
            <w:r>
              <w:rPr>
                <w:b/>
                <w:sz w:val="21"/>
                <w:szCs w:val="21"/>
              </w:rPr>
              <w:t>22.03.02</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eastAsia="宋体"/>
          <w:b/>
          <w:sz w:val="21"/>
          <w:szCs w:val="21"/>
          <w:lang w:eastAsia="zh-CN"/>
        </w:rPr>
      </w:pPr>
      <w:r>
        <w:rPr>
          <w:rFonts w:hint="eastAsia"/>
          <w:b/>
          <w:sz w:val="21"/>
          <w:szCs w:val="21"/>
          <w:lang w:eastAsia="zh-CN"/>
        </w:rPr>
        <w:t>☑</w:t>
      </w:r>
      <w:r>
        <w:rPr>
          <w:rFonts w:hint="eastAsia"/>
          <w:b/>
          <w:sz w:val="21"/>
          <w:szCs w:val="21"/>
        </w:rPr>
        <w:t>保持认证注册资格：</w:t>
      </w:r>
      <w:r>
        <w:rPr>
          <w:rFonts w:hint="eastAsia"/>
          <w:b/>
          <w:sz w:val="21"/>
          <w:szCs w:val="21"/>
          <w:lang w:val="en-US" w:eastAsia="zh-CN"/>
        </w:rPr>
        <w:t xml:space="preserve"> </w:t>
      </w:r>
      <w:r>
        <w:rPr>
          <w:rFonts w:hint="eastAsia"/>
          <w:b/>
          <w:bCs w:val="0"/>
          <w:sz w:val="21"/>
          <w:szCs w:val="21"/>
          <w:u w:val="single"/>
        </w:rPr>
        <w:t>EMS</w:t>
      </w:r>
      <w:r>
        <w:rPr>
          <w:rFonts w:hint="eastAsia"/>
          <w:b w:val="0"/>
          <w:bCs/>
          <w:sz w:val="21"/>
          <w:szCs w:val="21"/>
          <w:lang w:val="en-US" w:eastAsia="zh-CN"/>
        </w:rPr>
        <w:t xml:space="preserve"> </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bookmarkStart w:id="29" w:name="_GoBack"/>
      <w:bookmarkEnd w:id="29"/>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10"/>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670"/>
        <w:gridCol w:w="2060"/>
        <w:gridCol w:w="930"/>
        <w:gridCol w:w="1620"/>
        <w:gridCol w:w="1550"/>
        <w:gridCol w:w="114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548" w:type="dxa"/>
            <w:gridSpan w:val="2"/>
            <w:vAlign w:val="center"/>
          </w:tcPr>
          <w:p>
            <w:pPr>
              <w:spacing w:line="240" w:lineRule="auto"/>
              <w:jc w:val="center"/>
              <w:rPr>
                <w:rFonts w:hint="eastAsia" w:ascii="宋体" w:hAnsi="宋体"/>
                <w:b/>
                <w:sz w:val="21"/>
                <w:szCs w:val="22"/>
              </w:rPr>
            </w:pPr>
            <w:r>
              <w:rPr>
                <w:rFonts w:hint="eastAsia" w:ascii="宋体" w:hAnsi="宋体"/>
                <w:b/>
                <w:sz w:val="21"/>
                <w:szCs w:val="22"/>
              </w:rPr>
              <w:t>受审核方名称</w:t>
            </w:r>
          </w:p>
        </w:tc>
        <w:tc>
          <w:tcPr>
            <w:tcW w:w="4610" w:type="dxa"/>
            <w:gridSpan w:val="3"/>
            <w:vAlign w:val="center"/>
          </w:tcPr>
          <w:p>
            <w:pPr>
              <w:spacing w:line="240" w:lineRule="auto"/>
              <w:jc w:val="center"/>
              <w:rPr>
                <w:rFonts w:hint="eastAsia" w:ascii="宋体" w:hAnsi="宋体"/>
                <w:b/>
                <w:sz w:val="21"/>
                <w:szCs w:val="22"/>
              </w:rPr>
            </w:pPr>
            <w:bookmarkStart w:id="10" w:name="组织名称Add"/>
            <w:r>
              <w:rPr>
                <w:rFonts w:hint="eastAsia" w:ascii="宋体" w:hAnsi="宋体"/>
                <w:b/>
                <w:sz w:val="21"/>
                <w:szCs w:val="22"/>
              </w:rPr>
              <w:t>陕西华骏机械制造有限责任公司</w:t>
            </w:r>
            <w:bookmarkEnd w:id="10"/>
          </w:p>
        </w:tc>
        <w:tc>
          <w:tcPr>
            <w:tcW w:w="1550" w:type="dxa"/>
            <w:vAlign w:val="center"/>
          </w:tcPr>
          <w:p>
            <w:pPr>
              <w:spacing w:line="240" w:lineRule="auto"/>
              <w:jc w:val="center"/>
              <w:rPr>
                <w:rFonts w:hint="eastAsia" w:ascii="宋体" w:hAnsi="宋体"/>
                <w:b/>
                <w:sz w:val="21"/>
                <w:szCs w:val="22"/>
              </w:rPr>
            </w:pPr>
            <w:r>
              <w:rPr>
                <w:rFonts w:hint="eastAsia" w:ascii="宋体" w:hAnsi="宋体"/>
                <w:b/>
                <w:sz w:val="21"/>
                <w:szCs w:val="22"/>
              </w:rPr>
              <w:t>组织人数及变动情况核实</w:t>
            </w:r>
          </w:p>
        </w:tc>
        <w:tc>
          <w:tcPr>
            <w:tcW w:w="2564" w:type="dxa"/>
            <w:gridSpan w:val="2"/>
            <w:vAlign w:val="center"/>
          </w:tcPr>
          <w:p>
            <w:pPr>
              <w:spacing w:line="240" w:lineRule="auto"/>
              <w:jc w:val="center"/>
              <w:rPr>
                <w:rFonts w:hint="default" w:ascii="宋体" w:hAnsi="宋体" w:eastAsia="宋体"/>
                <w:b/>
                <w:sz w:val="21"/>
                <w:szCs w:val="22"/>
                <w:lang w:val="en-US" w:eastAsia="zh-CN"/>
              </w:rPr>
            </w:pPr>
            <w:r>
              <w:rPr>
                <w:rFonts w:hint="eastAsia" w:ascii="宋体" w:hAnsi="宋体"/>
                <w:b/>
                <w:sz w:val="21"/>
                <w:szCs w:val="22"/>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48" w:type="dxa"/>
            <w:gridSpan w:val="2"/>
            <w:vAlign w:val="center"/>
          </w:tcPr>
          <w:p>
            <w:pPr>
              <w:spacing w:line="240" w:lineRule="auto"/>
              <w:jc w:val="center"/>
              <w:rPr>
                <w:rFonts w:hint="eastAsia" w:ascii="宋体" w:hAnsi="宋体"/>
                <w:b/>
                <w:sz w:val="21"/>
                <w:szCs w:val="22"/>
              </w:rPr>
            </w:pPr>
            <w:r>
              <w:rPr>
                <w:rFonts w:hint="eastAsia" w:ascii="宋体" w:hAnsi="宋体"/>
                <w:b/>
                <w:sz w:val="21"/>
                <w:szCs w:val="22"/>
              </w:rPr>
              <w:t>注册地址</w:t>
            </w:r>
          </w:p>
        </w:tc>
        <w:tc>
          <w:tcPr>
            <w:tcW w:w="4610" w:type="dxa"/>
            <w:gridSpan w:val="3"/>
          </w:tcPr>
          <w:p>
            <w:pPr>
              <w:spacing w:line="240" w:lineRule="auto"/>
              <w:jc w:val="center"/>
              <w:rPr>
                <w:rFonts w:hint="eastAsia" w:ascii="宋体" w:hAnsi="宋体"/>
                <w:b/>
                <w:sz w:val="21"/>
                <w:szCs w:val="22"/>
              </w:rPr>
            </w:pPr>
            <w:bookmarkStart w:id="11" w:name="注册地址"/>
            <w:r>
              <w:rPr>
                <w:rFonts w:hint="eastAsia" w:ascii="宋体" w:hAnsi="宋体"/>
                <w:b/>
                <w:sz w:val="21"/>
                <w:szCs w:val="22"/>
              </w:rPr>
              <w:t>陕西省咸阳市礼泉县食品工业园区科技路北侧</w:t>
            </w:r>
            <w:bookmarkEnd w:id="11"/>
          </w:p>
        </w:tc>
        <w:tc>
          <w:tcPr>
            <w:tcW w:w="1550" w:type="dxa"/>
            <w:vMerge w:val="restart"/>
            <w:vAlign w:val="center"/>
          </w:tcPr>
          <w:p>
            <w:pPr>
              <w:spacing w:line="240" w:lineRule="auto"/>
              <w:jc w:val="center"/>
              <w:rPr>
                <w:rFonts w:hint="eastAsia" w:ascii="宋体" w:hAnsi="宋体"/>
                <w:b/>
                <w:sz w:val="21"/>
                <w:szCs w:val="22"/>
              </w:rPr>
            </w:pPr>
            <w:r>
              <w:rPr>
                <w:rFonts w:hint="eastAsia" w:ascii="宋体" w:hAnsi="宋体"/>
                <w:b/>
                <w:sz w:val="21"/>
                <w:szCs w:val="22"/>
              </w:rPr>
              <w:t>邮编</w:t>
            </w:r>
          </w:p>
        </w:tc>
        <w:tc>
          <w:tcPr>
            <w:tcW w:w="2564" w:type="dxa"/>
            <w:gridSpan w:val="2"/>
          </w:tcPr>
          <w:p>
            <w:pPr>
              <w:spacing w:line="240" w:lineRule="auto"/>
              <w:jc w:val="center"/>
              <w:rPr>
                <w:rFonts w:hint="eastAsia" w:ascii="宋体" w:hAnsi="宋体"/>
                <w:b/>
                <w:sz w:val="21"/>
                <w:szCs w:val="22"/>
              </w:rPr>
            </w:pPr>
            <w:bookmarkStart w:id="12" w:name="注册邮编"/>
            <w:r>
              <w:rPr>
                <w:rFonts w:hint="eastAsia" w:ascii="宋体" w:hAnsi="宋体"/>
                <w:b/>
                <w:sz w:val="21"/>
                <w:szCs w:val="22"/>
              </w:rPr>
              <w:t>713200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48" w:type="dxa"/>
            <w:gridSpan w:val="2"/>
            <w:vAlign w:val="center"/>
          </w:tcPr>
          <w:p>
            <w:pPr>
              <w:spacing w:line="240" w:lineRule="auto"/>
              <w:jc w:val="center"/>
              <w:rPr>
                <w:rFonts w:hint="eastAsia" w:ascii="宋体" w:hAnsi="宋体"/>
                <w:b/>
                <w:sz w:val="21"/>
                <w:szCs w:val="22"/>
              </w:rPr>
            </w:pPr>
            <w:r>
              <w:rPr>
                <w:rFonts w:hint="eastAsia" w:ascii="宋体" w:hAnsi="宋体"/>
                <w:b/>
                <w:sz w:val="21"/>
                <w:szCs w:val="22"/>
              </w:rPr>
              <w:t>经营地址</w:t>
            </w:r>
          </w:p>
        </w:tc>
        <w:tc>
          <w:tcPr>
            <w:tcW w:w="4610" w:type="dxa"/>
            <w:gridSpan w:val="3"/>
          </w:tcPr>
          <w:p>
            <w:pPr>
              <w:spacing w:line="240" w:lineRule="auto"/>
              <w:jc w:val="center"/>
              <w:rPr>
                <w:rFonts w:hint="eastAsia" w:ascii="宋体" w:hAnsi="宋体"/>
                <w:b/>
                <w:sz w:val="21"/>
                <w:szCs w:val="22"/>
              </w:rPr>
            </w:pPr>
            <w:bookmarkStart w:id="13" w:name="办公地址"/>
            <w:r>
              <w:rPr>
                <w:rFonts w:hint="eastAsia" w:ascii="宋体" w:hAnsi="宋体"/>
                <w:b/>
                <w:sz w:val="21"/>
                <w:szCs w:val="22"/>
              </w:rPr>
              <w:t>陕西省咸阳市礼泉县食品工业园区科技路北侧</w:t>
            </w:r>
            <w:bookmarkEnd w:id="13"/>
          </w:p>
        </w:tc>
        <w:tc>
          <w:tcPr>
            <w:tcW w:w="1550" w:type="dxa"/>
            <w:vMerge w:val="continue"/>
            <w:vAlign w:val="center"/>
          </w:tcPr>
          <w:p>
            <w:pPr>
              <w:spacing w:line="240" w:lineRule="auto"/>
              <w:jc w:val="center"/>
              <w:rPr>
                <w:rFonts w:hint="eastAsia" w:ascii="宋体" w:hAnsi="宋体"/>
                <w:b/>
                <w:sz w:val="21"/>
                <w:szCs w:val="22"/>
              </w:rPr>
            </w:pPr>
          </w:p>
        </w:tc>
        <w:tc>
          <w:tcPr>
            <w:tcW w:w="2564" w:type="dxa"/>
            <w:gridSpan w:val="2"/>
          </w:tcPr>
          <w:p>
            <w:pPr>
              <w:spacing w:line="240" w:lineRule="auto"/>
              <w:jc w:val="center"/>
              <w:rPr>
                <w:rFonts w:hint="eastAsia" w:ascii="宋体" w:hAnsi="宋体"/>
                <w:b/>
                <w:sz w:val="21"/>
                <w:szCs w:val="22"/>
              </w:rPr>
            </w:pPr>
            <w:bookmarkStart w:id="14" w:name="办公邮编"/>
            <w:r>
              <w:rPr>
                <w:rFonts w:hint="eastAsia" w:ascii="宋体" w:hAnsi="宋体"/>
                <w:b/>
                <w:sz w:val="21"/>
                <w:szCs w:val="22"/>
              </w:rPr>
              <w:t>713200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548" w:type="dxa"/>
            <w:gridSpan w:val="2"/>
            <w:vAlign w:val="center"/>
          </w:tcPr>
          <w:p>
            <w:pPr>
              <w:spacing w:line="240" w:lineRule="auto"/>
              <w:jc w:val="center"/>
              <w:rPr>
                <w:rFonts w:hint="eastAsia" w:ascii="宋体" w:hAnsi="宋体"/>
                <w:b/>
                <w:sz w:val="21"/>
                <w:szCs w:val="22"/>
              </w:rPr>
            </w:pPr>
            <w:r>
              <w:rPr>
                <w:rFonts w:hint="eastAsia" w:ascii="宋体" w:hAnsi="宋体"/>
                <w:b/>
                <w:sz w:val="21"/>
                <w:szCs w:val="22"/>
              </w:rPr>
              <w:t>生产地址</w:t>
            </w:r>
          </w:p>
        </w:tc>
        <w:tc>
          <w:tcPr>
            <w:tcW w:w="4610" w:type="dxa"/>
            <w:gridSpan w:val="3"/>
          </w:tcPr>
          <w:p>
            <w:pPr>
              <w:spacing w:line="240" w:lineRule="auto"/>
              <w:jc w:val="center"/>
              <w:rPr>
                <w:rFonts w:hint="eastAsia" w:ascii="宋体" w:hAnsi="宋体"/>
                <w:b/>
                <w:sz w:val="21"/>
                <w:szCs w:val="22"/>
              </w:rPr>
            </w:pPr>
            <w:bookmarkStart w:id="15" w:name="生产地址Add"/>
            <w:r>
              <w:rPr>
                <w:rFonts w:hint="eastAsia" w:ascii="宋体" w:hAnsi="宋体"/>
                <w:b/>
                <w:sz w:val="21"/>
                <w:szCs w:val="22"/>
              </w:rPr>
              <w:t>陕西省咸阳市礼泉县食品工业园区科技路北侧</w:t>
            </w:r>
            <w:bookmarkEnd w:id="15"/>
          </w:p>
        </w:tc>
        <w:tc>
          <w:tcPr>
            <w:tcW w:w="1550" w:type="dxa"/>
            <w:vMerge w:val="continue"/>
            <w:vAlign w:val="center"/>
          </w:tcPr>
          <w:p>
            <w:pPr>
              <w:spacing w:line="240" w:lineRule="auto"/>
              <w:jc w:val="center"/>
              <w:rPr>
                <w:rFonts w:hint="eastAsia" w:ascii="宋体" w:hAnsi="宋体"/>
                <w:b/>
                <w:sz w:val="21"/>
                <w:szCs w:val="22"/>
              </w:rPr>
            </w:pPr>
          </w:p>
        </w:tc>
        <w:tc>
          <w:tcPr>
            <w:tcW w:w="2564" w:type="dxa"/>
            <w:gridSpan w:val="2"/>
          </w:tcPr>
          <w:p>
            <w:pPr>
              <w:spacing w:line="240" w:lineRule="auto"/>
              <w:jc w:val="center"/>
              <w:rPr>
                <w:rFonts w:hint="eastAsia" w:ascii="宋体" w:hAnsi="宋体"/>
                <w:b/>
                <w:sz w:val="21"/>
                <w:szCs w:val="22"/>
              </w:rPr>
            </w:pPr>
            <w:bookmarkStart w:id="16" w:name="生产邮编"/>
            <w:r>
              <w:rPr>
                <w:rFonts w:hint="eastAsia" w:ascii="宋体" w:hAnsi="宋体"/>
                <w:b/>
                <w:sz w:val="21"/>
                <w:szCs w:val="22"/>
              </w:rPr>
              <w:t>713200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548" w:type="dxa"/>
            <w:gridSpan w:val="2"/>
            <w:vAlign w:val="center"/>
          </w:tcPr>
          <w:p>
            <w:pPr>
              <w:spacing w:line="240" w:lineRule="auto"/>
              <w:jc w:val="center"/>
              <w:rPr>
                <w:rFonts w:ascii="宋体"/>
                <w:b/>
                <w:sz w:val="21"/>
              </w:rPr>
            </w:pPr>
            <w:r>
              <w:rPr>
                <w:rFonts w:hint="eastAsia" w:ascii="宋体" w:hAnsi="宋体"/>
                <w:b/>
                <w:sz w:val="21"/>
              </w:rPr>
              <w:t>联系人</w:t>
            </w:r>
          </w:p>
        </w:tc>
        <w:tc>
          <w:tcPr>
            <w:tcW w:w="2060" w:type="dxa"/>
          </w:tcPr>
          <w:p>
            <w:pPr>
              <w:spacing w:line="240" w:lineRule="auto"/>
              <w:rPr>
                <w:rFonts w:ascii="宋体"/>
                <w:b/>
                <w:sz w:val="21"/>
              </w:rPr>
            </w:pPr>
            <w:bookmarkStart w:id="17" w:name="联系人"/>
            <w:r>
              <w:rPr>
                <w:rFonts w:ascii="宋体"/>
                <w:b/>
                <w:sz w:val="21"/>
              </w:rPr>
              <w:t>上官鸿雪</w:t>
            </w:r>
            <w:bookmarkEnd w:id="17"/>
          </w:p>
        </w:tc>
        <w:tc>
          <w:tcPr>
            <w:tcW w:w="930" w:type="dxa"/>
            <w:vAlign w:val="center"/>
          </w:tcPr>
          <w:p>
            <w:pPr>
              <w:spacing w:line="240" w:lineRule="auto"/>
              <w:jc w:val="center"/>
              <w:rPr>
                <w:rFonts w:ascii="宋体"/>
                <w:b/>
                <w:sz w:val="21"/>
              </w:rPr>
            </w:pPr>
            <w:r>
              <w:rPr>
                <w:rFonts w:hint="eastAsia" w:ascii="宋体" w:hAnsi="宋体"/>
                <w:b/>
                <w:sz w:val="21"/>
              </w:rPr>
              <w:t>电话</w:t>
            </w:r>
            <w:r>
              <w:rPr>
                <w:b/>
                <w:sz w:val="16"/>
                <w:szCs w:val="16"/>
              </w:rPr>
              <w:t>.</w:t>
            </w:r>
          </w:p>
        </w:tc>
        <w:tc>
          <w:tcPr>
            <w:tcW w:w="1620" w:type="dxa"/>
            <w:vAlign w:val="center"/>
          </w:tcPr>
          <w:p>
            <w:pPr>
              <w:spacing w:line="240" w:lineRule="auto"/>
              <w:jc w:val="center"/>
              <w:rPr>
                <w:rFonts w:ascii="宋体"/>
                <w:b/>
                <w:sz w:val="21"/>
              </w:rPr>
            </w:pPr>
            <w:bookmarkStart w:id="18" w:name="联系人电话Add"/>
            <w:r>
              <w:rPr>
                <w:rFonts w:ascii="宋体"/>
                <w:b/>
                <w:sz w:val="21"/>
              </w:rPr>
              <w:t>029 3892 3281</w:t>
            </w:r>
            <w:bookmarkEnd w:id="18"/>
          </w:p>
        </w:tc>
        <w:tc>
          <w:tcPr>
            <w:tcW w:w="1550" w:type="dxa"/>
            <w:vAlign w:val="center"/>
          </w:tcPr>
          <w:p>
            <w:pPr>
              <w:spacing w:line="240" w:lineRule="auto"/>
              <w:jc w:val="center"/>
              <w:rPr>
                <w:rFonts w:ascii="宋体"/>
                <w:b/>
                <w:sz w:val="21"/>
              </w:rPr>
            </w:pPr>
            <w:r>
              <w:rPr>
                <w:rFonts w:hint="eastAsia" w:ascii="宋体" w:hAnsi="宋体"/>
                <w:b/>
                <w:sz w:val="21"/>
              </w:rPr>
              <w:t>传真</w:t>
            </w:r>
          </w:p>
        </w:tc>
        <w:tc>
          <w:tcPr>
            <w:tcW w:w="2564" w:type="dxa"/>
            <w:gridSpan w:val="2"/>
          </w:tcPr>
          <w:p>
            <w:pPr>
              <w:spacing w:line="240" w:lineRule="auto"/>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48" w:type="dxa"/>
            <w:gridSpan w:val="2"/>
            <w:vAlign w:val="center"/>
          </w:tcPr>
          <w:p>
            <w:pPr>
              <w:spacing w:line="240" w:lineRule="auto"/>
              <w:jc w:val="center"/>
              <w:rPr>
                <w:rFonts w:ascii="宋体" w:hAnsi="宋体"/>
                <w:b/>
                <w:sz w:val="21"/>
                <w:szCs w:val="21"/>
              </w:rPr>
            </w:pPr>
            <w:r>
              <w:rPr>
                <w:rFonts w:hint="eastAsia" w:ascii="宋体" w:hAnsi="宋体"/>
                <w:b/>
                <w:sz w:val="21"/>
                <w:szCs w:val="21"/>
              </w:rPr>
              <w:t>法人代表</w:t>
            </w:r>
          </w:p>
        </w:tc>
        <w:tc>
          <w:tcPr>
            <w:tcW w:w="2060" w:type="dxa"/>
          </w:tcPr>
          <w:p>
            <w:pPr>
              <w:spacing w:line="240" w:lineRule="auto"/>
              <w:rPr>
                <w:rFonts w:ascii="宋体" w:hAnsi="宋体"/>
                <w:b/>
                <w:sz w:val="21"/>
                <w:szCs w:val="21"/>
              </w:rPr>
            </w:pPr>
            <w:bookmarkStart w:id="20" w:name="法人"/>
            <w:r>
              <w:rPr>
                <w:rFonts w:ascii="宋体" w:hAnsi="宋体"/>
                <w:b/>
                <w:sz w:val="21"/>
                <w:szCs w:val="21"/>
              </w:rPr>
              <w:t>李峰</w:t>
            </w:r>
            <w:bookmarkEnd w:id="20"/>
          </w:p>
        </w:tc>
        <w:tc>
          <w:tcPr>
            <w:tcW w:w="930" w:type="dxa"/>
            <w:vAlign w:val="center"/>
          </w:tcPr>
          <w:p>
            <w:pPr>
              <w:spacing w:line="240" w:lineRule="auto"/>
              <w:jc w:val="center"/>
              <w:rPr>
                <w:rFonts w:ascii="宋体" w:hAnsi="宋体"/>
                <w:b/>
                <w:sz w:val="21"/>
                <w:szCs w:val="21"/>
              </w:rPr>
            </w:pPr>
            <w:r>
              <w:rPr>
                <w:rFonts w:hint="eastAsia" w:ascii="宋体" w:hAnsi="宋体"/>
                <w:b/>
                <w:sz w:val="21"/>
                <w:szCs w:val="21"/>
              </w:rPr>
              <w:t>总经理</w:t>
            </w:r>
          </w:p>
        </w:tc>
        <w:tc>
          <w:tcPr>
            <w:tcW w:w="1620" w:type="dxa"/>
          </w:tcPr>
          <w:p>
            <w:pPr>
              <w:spacing w:line="240" w:lineRule="auto"/>
              <w:rPr>
                <w:rFonts w:ascii="宋体" w:hAnsi="宋体"/>
                <w:b/>
                <w:sz w:val="21"/>
                <w:szCs w:val="21"/>
              </w:rPr>
            </w:pPr>
          </w:p>
        </w:tc>
        <w:tc>
          <w:tcPr>
            <w:tcW w:w="1550" w:type="dxa"/>
            <w:vAlign w:val="center"/>
          </w:tcPr>
          <w:p>
            <w:pPr>
              <w:spacing w:line="240" w:lineRule="auto"/>
              <w:jc w:val="center"/>
              <w:rPr>
                <w:rFonts w:ascii="宋体" w:hAnsi="宋体"/>
                <w:b/>
                <w:sz w:val="21"/>
                <w:szCs w:val="21"/>
              </w:rPr>
            </w:pPr>
            <w:r>
              <w:rPr>
                <w:rFonts w:hint="eastAsia" w:ascii="宋体" w:hAnsi="宋体"/>
                <w:b/>
                <w:sz w:val="21"/>
                <w:szCs w:val="21"/>
              </w:rPr>
              <w:t>管理者代表</w:t>
            </w:r>
          </w:p>
        </w:tc>
        <w:tc>
          <w:tcPr>
            <w:tcW w:w="2564" w:type="dxa"/>
            <w:gridSpan w:val="2"/>
          </w:tcPr>
          <w:p>
            <w:pPr>
              <w:spacing w:line="240" w:lineRule="auto"/>
              <w:rPr>
                <w:rFonts w:ascii="宋体"/>
                <w:b/>
                <w:sz w:val="21"/>
              </w:rPr>
            </w:pPr>
            <w:bookmarkStart w:id="21" w:name="管理者代表"/>
            <w:r>
              <w:rPr>
                <w:rFonts w:ascii="宋体"/>
                <w:b/>
                <w:sz w:val="21"/>
              </w:rPr>
              <w:t>上官鸿雪</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4610" w:type="dxa"/>
            <w:gridSpan w:val="3"/>
            <w:vAlign w:val="center"/>
          </w:tcPr>
          <w:p>
            <w:pPr>
              <w:rPr>
                <w:rFonts w:ascii="宋体" w:hAnsi="宋体"/>
                <w:b/>
                <w:sz w:val="21"/>
                <w:szCs w:val="21"/>
              </w:rPr>
            </w:pPr>
            <w:bookmarkStart w:id="22" w:name="审核日期"/>
            <w:r>
              <w:rPr>
                <w:rFonts w:ascii="宋体" w:hAnsi="宋体"/>
                <w:b/>
                <w:sz w:val="21"/>
                <w:szCs w:val="21"/>
              </w:rPr>
              <w:t>2020年12月26日下午至2020年12月27日 下午</w:t>
            </w:r>
            <w:bookmarkEnd w:id="22"/>
          </w:p>
        </w:tc>
        <w:tc>
          <w:tcPr>
            <w:tcW w:w="1550" w:type="dxa"/>
            <w:vAlign w:val="center"/>
          </w:tcPr>
          <w:p>
            <w:pPr>
              <w:rPr>
                <w:rFonts w:ascii="宋体" w:hAnsi="宋体"/>
                <w:b/>
                <w:sz w:val="21"/>
                <w:szCs w:val="21"/>
              </w:rPr>
            </w:pPr>
            <w:r>
              <w:rPr>
                <w:rFonts w:hint="eastAsia" w:ascii="宋体" w:hAnsi="宋体"/>
                <w:b/>
                <w:sz w:val="21"/>
                <w:szCs w:val="21"/>
              </w:rPr>
              <w:t>一体化审核</w:t>
            </w:r>
          </w:p>
        </w:tc>
        <w:tc>
          <w:tcPr>
            <w:tcW w:w="2564"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154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8724"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bookmarkStart w:id="26" w:name="审核范围"/>
            <w:r>
              <w:rPr>
                <w:rFonts w:ascii="宋体" w:hAnsi="宋体"/>
                <w:b/>
                <w:color w:val="000000" w:themeColor="text1"/>
                <w:sz w:val="20"/>
                <w:szCs w:val="20"/>
              </w:rPr>
              <w:t>汽车零部件及配件制造（五大总成除外）。</w:t>
            </w:r>
            <w:bookmarkEnd w:id="26"/>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8"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tc>
        <w:tc>
          <w:tcPr>
            <w:tcW w:w="670"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t>□否</w:t>
            </w:r>
          </w:p>
        </w:tc>
        <w:tc>
          <w:tcPr>
            <w:tcW w:w="8724"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060" w:type="dxa"/>
            <w:vAlign w:val="center"/>
          </w:tcPr>
          <w:p>
            <w:pPr>
              <w:spacing w:line="260" w:lineRule="exact"/>
              <w:jc w:val="center"/>
              <w:rPr>
                <w:rFonts w:ascii="宋体" w:hAnsi="宋体"/>
                <w:b/>
                <w:sz w:val="21"/>
                <w:szCs w:val="21"/>
              </w:rPr>
            </w:pPr>
            <w:bookmarkStart w:id="28" w:name="专业代码"/>
            <w:r>
              <w:rPr>
                <w:rFonts w:ascii="宋体" w:hAnsi="宋体"/>
                <w:b/>
                <w:sz w:val="21"/>
                <w:szCs w:val="21"/>
              </w:rPr>
              <w:t>22.03.02</w:t>
            </w:r>
            <w:bookmarkEnd w:id="28"/>
          </w:p>
        </w:tc>
        <w:tc>
          <w:tcPr>
            <w:tcW w:w="2550" w:type="dxa"/>
            <w:gridSpan w:val="2"/>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550" w:type="dxa"/>
            <w:vAlign w:val="center"/>
          </w:tcPr>
          <w:p>
            <w:pPr>
              <w:spacing w:line="260" w:lineRule="exact"/>
              <w:jc w:val="center"/>
              <w:rPr>
                <w:rFonts w:hint="default" w:ascii="宋体" w:hAnsi="宋体" w:eastAsia="宋体"/>
                <w:b/>
                <w:sz w:val="21"/>
                <w:szCs w:val="21"/>
                <w:lang w:val="en-US" w:eastAsia="zh-CN"/>
              </w:rPr>
            </w:pPr>
            <w:r>
              <w:rPr>
                <w:rFonts w:hint="eastAsia" w:ascii="宋体" w:hAnsi="宋体"/>
                <w:b/>
                <w:sz w:val="21"/>
                <w:szCs w:val="21"/>
                <w:lang w:val="en-US" w:eastAsia="zh-CN"/>
              </w:rPr>
              <w:t>2023.01.02</w:t>
            </w:r>
          </w:p>
        </w:tc>
        <w:tc>
          <w:tcPr>
            <w:tcW w:w="114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424" w:type="dxa"/>
            <w:vAlign w:val="center"/>
          </w:tcPr>
          <w:p>
            <w:pPr>
              <w:spacing w:line="260" w:lineRule="exact"/>
              <w:jc w:val="center"/>
              <w:rPr>
                <w:rFonts w:hint="eastAsia" w:ascii="宋体" w:eastAsia="宋体"/>
                <w:b/>
                <w:sz w:val="21"/>
                <w:lang w:eastAsia="zh-CN"/>
              </w:rPr>
            </w:pPr>
            <w:r>
              <w:rPr>
                <w:rFonts w:hint="eastAsia"/>
                <w:b/>
                <w:color w:val="000000" w:themeColor="text1"/>
                <w:spacing w:val="-10"/>
                <w:szCs w:val="21"/>
                <w:lang w:val="en-US" w:eastAsia="zh-CN"/>
              </w:rPr>
              <w:t>2019</w:t>
            </w:r>
            <w:r>
              <w:rPr>
                <w:rFonts w:hint="eastAsia"/>
                <w:b/>
                <w:color w:val="000000" w:themeColor="text1"/>
                <w:spacing w:val="-10"/>
                <w:szCs w:val="21"/>
                <w:lang w:eastAsia="zh-CN"/>
              </w:rPr>
              <w:t>.</w:t>
            </w:r>
            <w:r>
              <w:rPr>
                <w:rFonts w:hint="eastAsia"/>
                <w:b/>
                <w:color w:val="000000" w:themeColor="text1"/>
                <w:spacing w:val="-10"/>
                <w:szCs w:val="21"/>
                <w:lang w:val="en-US" w:eastAsia="zh-CN"/>
              </w:rPr>
              <w:t>12</w:t>
            </w:r>
            <w:r>
              <w:rPr>
                <w:rFonts w:hint="eastAsia"/>
                <w:b/>
                <w:color w:val="000000" w:themeColor="text1"/>
                <w:spacing w:val="-10"/>
                <w:szCs w:val="21"/>
                <w:lang w:eastAsia="zh-CN"/>
              </w:rPr>
              <w:t>.</w:t>
            </w:r>
            <w:r>
              <w:rPr>
                <w:rFonts w:hint="eastAsia"/>
                <w:b/>
                <w:color w:val="000000" w:themeColor="text1"/>
                <w:spacing w:val="-10"/>
                <w:szCs w:val="21"/>
                <w:lang w:val="en-US" w:eastAsia="zh-CN"/>
              </w:rPr>
              <w:t>21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widowControl/>
              <w:jc w:val="lef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公司成立于20</w:t>
            </w:r>
            <w:r>
              <w:rPr>
                <w:rFonts w:hint="eastAsia" w:ascii="宋体" w:hAnsi="宋体" w:cs="宋体"/>
                <w:sz w:val="21"/>
                <w:szCs w:val="21"/>
                <w:lang w:val="en-US" w:eastAsia="zh-CN"/>
              </w:rPr>
              <w:t>10</w:t>
            </w:r>
            <w:r>
              <w:rPr>
                <w:rFonts w:hint="eastAsia" w:ascii="宋体" w:hAnsi="宋体" w:cs="宋体"/>
                <w:sz w:val="21"/>
                <w:szCs w:val="21"/>
              </w:rPr>
              <w:t>年</w:t>
            </w:r>
            <w:r>
              <w:rPr>
                <w:rFonts w:hint="eastAsia" w:ascii="宋体" w:hAnsi="宋体" w:cs="宋体"/>
                <w:sz w:val="21"/>
                <w:szCs w:val="21"/>
                <w:lang w:val="en-US" w:eastAsia="zh-CN"/>
              </w:rPr>
              <w:t>3月25日</w:t>
            </w:r>
            <w:r>
              <w:rPr>
                <w:rFonts w:hint="eastAsia" w:ascii="宋体" w:hAnsi="宋体" w:cs="宋体"/>
                <w:sz w:val="21"/>
                <w:szCs w:val="21"/>
              </w:rPr>
              <w:t>，座落在陕西省咸阳市礼泉县食品工业园区科技路北侧，是一家专业从事汽车零部件及配件制造（五大总成除外）的民营企业，企业类型为有限责任公司，法定代表人</w:t>
            </w:r>
            <w:r>
              <w:rPr>
                <w:rFonts w:hint="eastAsia" w:ascii="宋体" w:hAnsi="宋体" w:cs="宋体"/>
                <w:sz w:val="21"/>
                <w:szCs w:val="21"/>
                <w:lang w:val="en-US" w:eastAsia="zh-CN"/>
              </w:rPr>
              <w:t>李峰</w:t>
            </w:r>
            <w:r>
              <w:rPr>
                <w:rFonts w:hint="eastAsia" w:ascii="宋体" w:hAnsi="宋体" w:cs="宋体"/>
                <w:sz w:val="21"/>
                <w:szCs w:val="21"/>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公司现有员工</w:t>
            </w:r>
            <w:r>
              <w:rPr>
                <w:rFonts w:hint="eastAsia" w:ascii="宋体" w:hAnsi="宋体" w:cs="宋体"/>
                <w:sz w:val="21"/>
                <w:szCs w:val="21"/>
                <w:lang w:val="en-US" w:eastAsia="zh-CN"/>
              </w:rPr>
              <w:t>52</w:t>
            </w:r>
            <w:r>
              <w:rPr>
                <w:rFonts w:hint="eastAsia" w:ascii="宋体" w:hAnsi="宋体" w:cs="宋体"/>
                <w:sz w:val="21"/>
                <w:szCs w:val="21"/>
              </w:rPr>
              <w:t>人，下设</w:t>
            </w:r>
            <w:r>
              <w:rPr>
                <w:rFonts w:hint="eastAsia" w:ascii="宋体" w:hAnsi="宋体" w:cs="宋体"/>
                <w:sz w:val="21"/>
                <w:szCs w:val="21"/>
                <w:lang w:val="en-US" w:eastAsia="zh-CN"/>
              </w:rPr>
              <w:t>综合管理部</w:t>
            </w:r>
            <w:r>
              <w:rPr>
                <w:rFonts w:hint="eastAsia" w:ascii="宋体" w:hAnsi="宋体" w:cs="宋体"/>
                <w:sz w:val="21"/>
                <w:szCs w:val="21"/>
              </w:rPr>
              <w:t>、</w:t>
            </w:r>
            <w:r>
              <w:rPr>
                <w:rFonts w:hint="eastAsia" w:ascii="宋体" w:hAnsi="宋体" w:cs="宋体"/>
                <w:sz w:val="21"/>
                <w:szCs w:val="21"/>
                <w:lang w:val="en-US" w:eastAsia="zh-CN"/>
              </w:rPr>
              <w:t>技术</w:t>
            </w:r>
            <w:r>
              <w:rPr>
                <w:rFonts w:hint="eastAsia" w:ascii="宋体" w:hAnsi="宋体" w:cs="宋体"/>
                <w:sz w:val="21"/>
                <w:szCs w:val="21"/>
              </w:rPr>
              <w:t>部、生产部</w:t>
            </w:r>
            <w:r>
              <w:rPr>
                <w:rFonts w:hint="eastAsia" w:ascii="宋体" w:hAnsi="宋体" w:cs="宋体"/>
                <w:sz w:val="21"/>
                <w:szCs w:val="21"/>
                <w:lang w:eastAsia="zh-CN"/>
              </w:rPr>
              <w:t>、</w:t>
            </w:r>
            <w:r>
              <w:rPr>
                <w:rFonts w:hint="eastAsia" w:ascii="宋体" w:hAnsi="宋体" w:cs="宋体"/>
                <w:sz w:val="21"/>
                <w:szCs w:val="21"/>
                <w:lang w:val="en-US" w:eastAsia="zh-CN"/>
              </w:rPr>
              <w:t>质量部、采购部、销售部</w:t>
            </w:r>
            <w:r>
              <w:rPr>
                <w:rFonts w:hint="eastAsia" w:ascii="宋体" w:hAnsi="宋体" w:cs="宋体"/>
                <w:sz w:val="21"/>
                <w:szCs w:val="21"/>
              </w:rPr>
              <w:t>，拥有完整的生产、检测、营销、售后网络。</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ascii="宋体" w:hAnsi="宋体"/>
                <w:b/>
                <w:sz w:val="21"/>
                <w:szCs w:val="21"/>
              </w:rPr>
            </w:pPr>
            <w:r>
              <w:rPr>
                <w:rFonts w:hint="eastAsia" w:ascii="宋体" w:hAnsi="宋体" w:cs="宋体"/>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360" w:lineRule="auto"/>
              <w:ind w:firstLine="420" w:firstLineChars="200"/>
              <w:rPr>
                <w:rFonts w:hint="eastAsia" w:ascii="宋体" w:hAnsi="宋体"/>
                <w:b w:val="0"/>
                <w:bCs/>
                <w:sz w:val="21"/>
                <w:szCs w:val="21"/>
              </w:rPr>
            </w:pPr>
            <w:r>
              <w:rPr>
                <w:rFonts w:hint="eastAsia" w:ascii="宋体" w:hAnsi="宋体"/>
                <w:b w:val="0"/>
                <w:bCs/>
                <w:sz w:val="21"/>
                <w:szCs w:val="21"/>
              </w:rPr>
              <w:t>在公司运营过程中充分考虑相关方方面的期望或要求，已识别公司的相关方涉及到顾客、最终用户、业主、股东、银行、外部供应商、员工、法律法规监管机构等。</w:t>
            </w:r>
          </w:p>
          <w:p>
            <w:pPr>
              <w:spacing w:line="360" w:lineRule="auto"/>
              <w:rPr>
                <w:rFonts w:hint="eastAsia" w:ascii="宋体" w:hAnsi="宋体"/>
                <w:b w:val="0"/>
                <w:bCs/>
                <w:sz w:val="21"/>
                <w:szCs w:val="21"/>
              </w:rPr>
            </w:pPr>
            <w:r>
              <w:rPr>
                <w:rFonts w:hint="eastAsia" w:ascii="宋体" w:hAnsi="宋体"/>
                <w:b w:val="0"/>
                <w:bCs/>
                <w:sz w:val="21"/>
                <w:szCs w:val="21"/>
                <w:lang w:val="en-US" w:eastAsia="zh-CN"/>
              </w:rPr>
              <w:t xml:space="preserve">   </w:t>
            </w:r>
            <w:r>
              <w:rPr>
                <w:rFonts w:hint="eastAsia" w:ascii="宋体" w:hAnsi="宋体"/>
                <w:b w:val="0"/>
                <w:bCs/>
                <w:sz w:val="21"/>
                <w:szCs w:val="21"/>
              </w:rPr>
              <w:t>通过日常例会、市场活动、现场拜访、产品展销会、客户调查等多种渠道和方式方法随时了解相关方的需求和期望。做为公司经营风险分析和发展机遇的可利用资源。</w:t>
            </w:r>
          </w:p>
          <w:p>
            <w:pPr>
              <w:spacing w:line="360" w:lineRule="auto"/>
              <w:rPr>
                <w:rFonts w:ascii="宋体" w:hAnsi="宋体"/>
                <w:b/>
                <w:sz w:val="21"/>
                <w:szCs w:val="21"/>
              </w:rPr>
            </w:pPr>
            <w:r>
              <w:rPr>
                <w:rFonts w:hint="eastAsia" w:ascii="宋体" w:hAnsi="宋体"/>
                <w:b w:val="0"/>
                <w:bCs/>
                <w:sz w:val="21"/>
                <w:szCs w:val="21"/>
                <w:lang w:val="en-US" w:eastAsia="zh-CN"/>
              </w:rPr>
              <w:t xml:space="preserve">   </w:t>
            </w:r>
            <w:r>
              <w:rPr>
                <w:rFonts w:hint="eastAsia" w:ascii="宋体" w:hAnsi="宋体"/>
                <w:b w:val="0"/>
                <w:bCs/>
                <w:sz w:val="21"/>
                <w:szCs w:val="21"/>
              </w:rPr>
              <w:t>公司高管内外部相关方需求分析到位</w:t>
            </w:r>
            <w:r>
              <w:rPr>
                <w:rFonts w:hint="eastAsia" w:ascii="宋体" w:hAnsi="宋体"/>
                <w:b w:val="0"/>
                <w:bCs/>
                <w:sz w:val="21"/>
                <w:szCs w:val="21"/>
                <w:lang w:val="en-US" w:eastAsia="zh-CN"/>
              </w:rPr>
              <w:t>,</w:t>
            </w:r>
            <w:r>
              <w:rPr>
                <w:rFonts w:hint="eastAsia" w:ascii="宋体" w:hAnsi="宋体"/>
                <w:b w:val="0"/>
                <w:bCs/>
                <w:sz w:val="21"/>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360" w:lineRule="auto"/>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val="en-US" w:eastAsia="zh-CN"/>
              </w:rPr>
              <w:t xml:space="preserve"> </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企业已经制定环境方针，具体包含在《管理手册》，公司的环境方针是：</w:t>
            </w:r>
          </w:p>
          <w:p>
            <w:pPr>
              <w:spacing w:line="360" w:lineRule="auto"/>
              <w:rPr>
                <w:rFonts w:hint="eastAsia" w:ascii="宋体" w:hAnsi="宋体"/>
                <w:b w:val="0"/>
                <w:bCs/>
                <w:sz w:val="21"/>
                <w:szCs w:val="21"/>
              </w:rPr>
            </w:pPr>
            <w:r>
              <w:rPr>
                <w:rFonts w:hint="eastAsia" w:ascii="宋体" w:hAnsi="宋体"/>
                <w:b w:val="0"/>
                <w:bCs/>
                <w:sz w:val="21"/>
                <w:szCs w:val="21"/>
              </w:rPr>
              <w:t>遵规守法  预防污染  节能降耗  持续改进</w:t>
            </w:r>
          </w:p>
          <w:p>
            <w:pPr>
              <w:spacing w:line="360" w:lineRule="auto"/>
              <w:rPr>
                <w:rFonts w:ascii="宋体" w:hAnsi="宋体"/>
                <w:b/>
                <w:sz w:val="21"/>
                <w:szCs w:val="21"/>
              </w:rPr>
            </w:pPr>
            <w:r>
              <w:rPr>
                <w:rFonts w:hint="eastAsia" w:ascii="宋体" w:hAnsi="宋体"/>
                <w:b w:val="0"/>
                <w:bCs/>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360" w:lineRule="auto"/>
              <w:ind w:leftChars="0"/>
              <w:rPr>
                <w:rFonts w:hint="eastAsia" w:ascii="宋体" w:hAnsi="宋体"/>
                <w:b w:val="0"/>
                <w:bCs/>
                <w:sz w:val="21"/>
                <w:szCs w:val="21"/>
              </w:rPr>
            </w:pPr>
            <w:r>
              <w:rPr>
                <w:rFonts w:hint="eastAsia" w:ascii="宋体" w:hAnsi="宋体"/>
                <w:b w:val="0"/>
                <w:bCs/>
                <w:sz w:val="21"/>
                <w:szCs w:val="21"/>
              </w:rPr>
              <w:t>公司制定管理手册中，明确风险和机遇事件的识别方法/途径、风险和机遇事件的评估方式、制定主要风险和机遇事件的应对措施的要求、评价这些措施有效性的方法。</w:t>
            </w:r>
          </w:p>
          <w:p>
            <w:pPr>
              <w:spacing w:line="360" w:lineRule="auto"/>
              <w:rPr>
                <w:rFonts w:hint="eastAsia" w:ascii="宋体" w:hAnsi="宋体"/>
                <w:b w:val="0"/>
                <w:bCs/>
                <w:sz w:val="21"/>
                <w:szCs w:val="21"/>
              </w:rPr>
            </w:pPr>
            <w:r>
              <w:rPr>
                <w:rFonts w:hint="eastAsia" w:ascii="宋体" w:hAnsi="宋体"/>
                <w:b w:val="0"/>
                <w:bCs/>
                <w:sz w:val="21"/>
                <w:szCs w:val="21"/>
              </w:rPr>
              <w:t>提供“风险与机遇评价与应对策划表”，按照生产、销售服务、采购、支持过程/部门对风险和机遇进行了评价识别，并制定应对措施。</w:t>
            </w:r>
          </w:p>
          <w:p>
            <w:pPr>
              <w:spacing w:line="360" w:lineRule="auto"/>
              <w:rPr>
                <w:rFonts w:ascii="宋体" w:hAnsi="宋体"/>
                <w:b/>
                <w:sz w:val="21"/>
                <w:szCs w:val="21"/>
              </w:rPr>
            </w:pPr>
            <w:r>
              <w:rPr>
                <w:rFonts w:hint="eastAsia" w:ascii="宋体" w:hAnsi="宋体"/>
                <w:b w:val="0"/>
                <w:bCs/>
                <w:sz w:val="21"/>
                <w:szCs w:val="21"/>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       </w:t>
            </w:r>
            <w:r>
              <w:rPr>
                <w:rFonts w:hint="eastAsia" w:ascii="宋体" w:hAnsi="宋体"/>
                <w:b/>
                <w:sz w:val="21"/>
                <w:szCs w:val="21"/>
              </w:rPr>
              <w:t>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hint="eastAsia" w:ascii="宋体" w:hAnsi="宋体"/>
                <w:b w:val="0"/>
                <w:bCs/>
                <w:sz w:val="21"/>
                <w:szCs w:val="21"/>
              </w:rPr>
            </w:pPr>
            <w:r>
              <w:rPr>
                <w:rFonts w:hint="eastAsia" w:ascii="宋体" w:hAnsi="宋体"/>
                <w:b w:val="0"/>
                <w:bCs/>
                <w:sz w:val="21"/>
                <w:szCs w:val="21"/>
              </w:rPr>
              <w:t>识别了办公、生产、采购、销售、质检等过程的环境因素，动态更新，评价出的重要环境因素包括：固体废弃物排放、火灾事故的发生、能源和资源的消耗、噪声排放。</w:t>
            </w:r>
          </w:p>
          <w:p>
            <w:pPr>
              <w:spacing w:line="360" w:lineRule="auto"/>
              <w:rPr>
                <w:rFonts w:hint="eastAsia" w:ascii="宋体" w:hAnsi="宋体"/>
                <w:b w:val="0"/>
                <w:bCs/>
                <w:sz w:val="21"/>
                <w:szCs w:val="21"/>
              </w:rPr>
            </w:pPr>
            <w:r>
              <w:rPr>
                <w:rFonts w:hint="eastAsia" w:ascii="宋体" w:hAnsi="宋体"/>
                <w:b w:val="0"/>
                <w:bCs/>
                <w:sz w:val="21"/>
                <w:szCs w:val="21"/>
              </w:rPr>
              <w:t>在采购、销售、生产、质检、仓储、运输、交付、日常办公等过程能使用生命周期观点和方法识别环境因素并加以管理。</w:t>
            </w:r>
          </w:p>
          <w:p>
            <w:pPr>
              <w:spacing w:line="360" w:lineRule="auto"/>
              <w:rPr>
                <w:rFonts w:ascii="宋体" w:hAnsi="宋体"/>
                <w:b/>
                <w:sz w:val="21"/>
                <w:szCs w:val="21"/>
              </w:rPr>
            </w:pPr>
            <w:r>
              <w:rPr>
                <w:rFonts w:hint="eastAsia" w:ascii="宋体" w:hAnsi="宋体"/>
                <w:b w:val="0"/>
                <w:bCs/>
                <w:sz w:val="2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360" w:lineRule="auto"/>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b/>
                <w:color w:val="000000"/>
                <w:szCs w:val="21"/>
              </w:rPr>
            </w:pPr>
            <w:r>
              <w:rPr>
                <w:rFonts w:ascii="宋体" w:hAnsi="宋体"/>
                <w:b/>
                <w:sz w:val="21"/>
                <w:szCs w:val="21"/>
              </w:rPr>
              <w:t xml:space="preserve">8. </w:t>
            </w:r>
            <w:r>
              <w:rPr>
                <w:rFonts w:hint="eastAsia" w:ascii="宋体" w:hAnsi="宋体"/>
                <w:b/>
                <w:sz w:val="21"/>
                <w:szCs w:val="21"/>
              </w:rPr>
              <w:t>法律法规及其他要求</w:t>
            </w:r>
          </w:p>
          <w:p>
            <w:pPr>
              <w:pStyle w:val="17"/>
              <w:numPr>
                <w:ilvl w:val="0"/>
                <w:numId w:val="0"/>
              </w:numPr>
              <w:tabs>
                <w:tab w:val="left" w:pos="540"/>
              </w:tabs>
              <w:spacing w:line="360" w:lineRule="auto"/>
              <w:ind w:leftChars="0"/>
              <w:rPr>
                <w:rFonts w:ascii="宋体"/>
                <w:b/>
                <w:color w:val="000000"/>
                <w:sz w:val="21"/>
                <w:szCs w:val="21"/>
              </w:rPr>
            </w:pPr>
            <w:r>
              <w:rPr>
                <w:rFonts w:hint="eastAsia" w:ascii="宋体" w:hAnsi="宋体"/>
                <w:b/>
                <w:color w:val="000000"/>
                <w:szCs w:val="21"/>
                <w:lang w:val="en-US" w:eastAsia="zh-CN"/>
              </w:rPr>
              <w:t>(1</w:t>
            </w:r>
            <w:r>
              <w:rPr>
                <w:rFonts w:hint="eastAsia" w:ascii="宋体" w:hAnsi="宋体"/>
                <w:b/>
                <w:color w:val="000000"/>
                <w:sz w:val="21"/>
                <w:szCs w:val="21"/>
                <w:lang w:val="en-US" w:eastAsia="zh-CN"/>
              </w:rPr>
              <w:t>)</w:t>
            </w:r>
            <w:r>
              <w:rPr>
                <w:rFonts w:hint="eastAsia" w:ascii="宋体" w:hAnsi="宋体"/>
                <w:b/>
                <w:color w:val="000000"/>
                <w:sz w:val="21"/>
                <w:szCs w:val="21"/>
              </w:rPr>
              <w:t>获取法律法规项，▇法律法规获取充分，□法律法规获取有遗漏，缺少</w:t>
            </w:r>
          </w:p>
          <w:p>
            <w:pPr>
              <w:pStyle w:val="17"/>
              <w:numPr>
                <w:ilvl w:val="0"/>
                <w:numId w:val="0"/>
              </w:numPr>
              <w:tabs>
                <w:tab w:val="left" w:pos="540"/>
              </w:tabs>
              <w:spacing w:line="360" w:lineRule="auto"/>
              <w:ind w:leftChars="0"/>
              <w:rPr>
                <w:rFonts w:ascii="宋体"/>
                <w:b/>
                <w:color w:val="000000"/>
                <w:sz w:val="21"/>
                <w:szCs w:val="21"/>
              </w:rPr>
            </w:pPr>
            <w:r>
              <w:rPr>
                <w:rFonts w:hint="eastAsia" w:ascii="宋体" w:hAnsi="宋体"/>
                <w:b/>
                <w:color w:val="000000"/>
                <w:sz w:val="21"/>
                <w:szCs w:val="21"/>
                <w:lang w:val="en-US" w:eastAsia="zh-CN"/>
              </w:rPr>
              <w:t>(2)</w:t>
            </w:r>
            <w:r>
              <w:rPr>
                <w:rFonts w:hint="eastAsia" w:ascii="宋体" w:hAnsi="宋体"/>
                <w:b/>
                <w:color w:val="000000"/>
                <w:sz w:val="21"/>
                <w:szCs w:val="21"/>
              </w:rPr>
              <w:t>结合公司的▇产品</w:t>
            </w:r>
            <w:r>
              <w:rPr>
                <w:rFonts w:ascii="宋体" w:hAnsi="宋体"/>
                <w:b/>
                <w:color w:val="000000"/>
                <w:sz w:val="21"/>
                <w:szCs w:val="21"/>
              </w:rPr>
              <w:t>/</w:t>
            </w:r>
            <w:r>
              <w:rPr>
                <w:rFonts w:hint="eastAsia" w:ascii="宋体" w:hAnsi="宋体"/>
                <w:b/>
                <w:color w:val="000000"/>
                <w:sz w:val="21"/>
                <w:szCs w:val="21"/>
              </w:rPr>
              <w:t>服务▇环境因素□危险源，▇确定</w:t>
            </w:r>
            <w:r>
              <w:rPr>
                <w:rFonts w:ascii="宋体" w:hAnsi="宋体"/>
                <w:b/>
                <w:color w:val="000000"/>
                <w:sz w:val="21"/>
                <w:szCs w:val="21"/>
              </w:rPr>
              <w:t xml:space="preserve"> </w:t>
            </w:r>
            <w:r>
              <w:rPr>
                <w:rFonts w:hint="eastAsia" w:ascii="宋体" w:hAnsi="宋体"/>
                <w:b/>
                <w:color w:val="000000"/>
                <w:sz w:val="21"/>
                <w:szCs w:val="21"/>
              </w:rPr>
              <w:t>□未确定法律法规要求的具体条款，</w:t>
            </w:r>
          </w:p>
          <w:p>
            <w:pPr>
              <w:spacing w:line="360" w:lineRule="auto"/>
              <w:rPr>
                <w:rFonts w:ascii="宋体" w:cs="宋体"/>
                <w:sz w:val="21"/>
                <w:szCs w:val="21"/>
              </w:rPr>
            </w:pPr>
            <w:r>
              <w:rPr>
                <w:rFonts w:hint="eastAsia" w:ascii="宋体" w:hAnsi="宋体"/>
                <w:b/>
                <w:color w:val="000000"/>
                <w:sz w:val="21"/>
                <w:szCs w:val="21"/>
              </w:rPr>
              <w:t>法律法规的宣传方式：</w:t>
            </w:r>
            <w:r>
              <w:rPr>
                <w:rFonts w:hint="eastAsia" w:ascii="宋体" w:hAnsi="宋体" w:cs="宋体"/>
                <w:sz w:val="21"/>
                <w:szCs w:val="21"/>
              </w:rPr>
              <w:t>通过培训、开会、发文件等形式将法律法规要求传达给了员工和相关方。</w:t>
            </w:r>
          </w:p>
          <w:p>
            <w:pPr>
              <w:pStyle w:val="17"/>
              <w:numPr>
                <w:ilvl w:val="0"/>
                <w:numId w:val="0"/>
              </w:numPr>
              <w:tabs>
                <w:tab w:val="left" w:pos="540"/>
              </w:tabs>
              <w:spacing w:line="360" w:lineRule="auto"/>
              <w:rPr>
                <w:rFonts w:hint="eastAsia" w:ascii="宋体" w:hAnsi="宋体"/>
                <w:b/>
                <w:color w:val="000000"/>
                <w:sz w:val="21"/>
                <w:szCs w:val="21"/>
              </w:rPr>
            </w:pPr>
            <w:r>
              <w:rPr>
                <w:rFonts w:hint="eastAsia" w:ascii="宋体" w:hAnsi="宋体"/>
                <w:b/>
                <w:color w:val="000000"/>
                <w:sz w:val="21"/>
                <w:szCs w:val="21"/>
                <w:lang w:eastAsia="zh-CN"/>
              </w:rPr>
              <w:t>（</w:t>
            </w:r>
            <w:r>
              <w:rPr>
                <w:rFonts w:hint="eastAsia" w:ascii="宋体" w:hAnsi="宋体"/>
                <w:b/>
                <w:color w:val="000000"/>
                <w:sz w:val="21"/>
                <w:szCs w:val="21"/>
                <w:lang w:val="en-US" w:eastAsia="zh-CN"/>
              </w:rPr>
              <w:t>3</w:t>
            </w:r>
            <w:r>
              <w:rPr>
                <w:rFonts w:hint="eastAsia" w:ascii="宋体" w:hAnsi="宋体"/>
                <w:b/>
                <w:color w:val="000000"/>
                <w:sz w:val="21"/>
                <w:szCs w:val="21"/>
                <w:lang w:eastAsia="zh-CN"/>
              </w:rPr>
              <w:t>）</w:t>
            </w:r>
            <w:r>
              <w:rPr>
                <w:rFonts w:hint="eastAsia" w:ascii="宋体" w:hAnsi="宋体"/>
                <w:b/>
                <w:color w:val="000000"/>
                <w:sz w:val="21"/>
                <w:szCs w:val="21"/>
              </w:rPr>
              <w:t>法律法规要求及时更新了：是</w:t>
            </w:r>
          </w:p>
          <w:p>
            <w:pPr>
              <w:pStyle w:val="17"/>
              <w:numPr>
                <w:ilvl w:val="0"/>
                <w:numId w:val="0"/>
              </w:numPr>
              <w:tabs>
                <w:tab w:val="left" w:pos="540"/>
              </w:tabs>
              <w:spacing w:line="360" w:lineRule="auto"/>
              <w:rPr>
                <w:rFonts w:hint="eastAsia" w:ascii="宋体" w:hAnsi="宋体"/>
                <w:b w:val="0"/>
                <w:bCs/>
                <w:color w:val="000000"/>
                <w:sz w:val="21"/>
                <w:szCs w:val="21"/>
              </w:rPr>
            </w:pPr>
            <w:r>
              <w:rPr>
                <w:rFonts w:hint="eastAsia" w:ascii="宋体" w:hAnsi="宋体"/>
                <w:b w:val="0"/>
                <w:bCs/>
                <w:color w:val="000000"/>
                <w:sz w:val="21"/>
                <w:szCs w:val="21"/>
              </w:rPr>
              <w:t>查</w:t>
            </w:r>
            <w:r>
              <w:rPr>
                <w:rFonts w:hint="eastAsia" w:ascii="宋体" w:hAnsi="宋体" w:eastAsia="宋体" w:cs="宋体"/>
                <w:sz w:val="21"/>
                <w:szCs w:val="21"/>
                <w:lang w:val="en-US" w:eastAsia="zh-CN"/>
              </w:rPr>
              <w:t>综合管理部</w:t>
            </w:r>
            <w:r>
              <w:rPr>
                <w:rFonts w:hint="eastAsia" w:ascii="宋体" w:hAnsi="宋体"/>
                <w:b w:val="0"/>
                <w:bCs/>
                <w:color w:val="000000"/>
                <w:sz w:val="21"/>
                <w:szCs w:val="21"/>
              </w:rPr>
              <w:t>提供的</w:t>
            </w:r>
            <w:r>
              <w:rPr>
                <w:rFonts w:hint="eastAsia" w:ascii="宋体" w:hAnsi="宋体" w:eastAsia="宋体" w:cs="宋体"/>
                <w:sz w:val="21"/>
                <w:szCs w:val="21"/>
              </w:rPr>
              <w:t>《适用的法律法规及其他要求一览表》</w:t>
            </w:r>
            <w:r>
              <w:rPr>
                <w:rFonts w:hint="eastAsia" w:ascii="宋体" w:hAnsi="宋体"/>
                <w:b w:val="0"/>
                <w:bCs/>
                <w:color w:val="000000"/>
                <w:sz w:val="21"/>
                <w:szCs w:val="21"/>
              </w:rPr>
              <w:t>中收录的“中华人民共和国固体废物污染环境防治法”已失效，未收集有效的版本，已开具不符合。</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60" w:lineRule="auto"/>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rPr>
                <w:rFonts w:hint="eastAsia" w:ascii="宋体" w:hAnsi="宋体"/>
                <w:b w:val="0"/>
                <w:bCs/>
                <w:sz w:val="21"/>
                <w:szCs w:val="21"/>
              </w:rPr>
            </w:pPr>
            <w:r>
              <w:rPr>
                <w:rFonts w:hint="eastAsia" w:ascii="宋体" w:hAnsi="宋体"/>
                <w:b w:val="0"/>
                <w:bCs/>
                <w:sz w:val="21"/>
                <w:szCs w:val="21"/>
              </w:rPr>
              <w:t>总经理负责组织制定公司的管理目标，并在公司各部门进行分解，制定时考虑了公司的过程及其风险和机遇。</w:t>
            </w:r>
          </w:p>
          <w:p>
            <w:pPr>
              <w:spacing w:line="360" w:lineRule="auto"/>
              <w:rPr>
                <w:rFonts w:hint="eastAsia" w:ascii="宋体" w:hAnsi="宋体"/>
                <w:b w:val="0"/>
                <w:bCs/>
                <w:sz w:val="21"/>
                <w:szCs w:val="21"/>
              </w:rPr>
            </w:pPr>
            <w:r>
              <w:rPr>
                <w:rFonts w:hint="eastAsia" w:ascii="宋体" w:hAnsi="宋体"/>
                <w:b w:val="0"/>
                <w:bCs/>
                <w:sz w:val="21"/>
                <w:szCs w:val="21"/>
              </w:rPr>
              <w:t>环境管理目标</w:t>
            </w:r>
            <w:r>
              <w:rPr>
                <w:rFonts w:hint="eastAsia" w:ascii="宋体" w:hAnsi="宋体"/>
                <w:b w:val="0"/>
                <w:bCs/>
                <w:sz w:val="21"/>
                <w:szCs w:val="21"/>
                <w:lang w:eastAsia="zh-CN"/>
              </w:rPr>
              <w:t>：</w:t>
            </w:r>
            <w:r>
              <w:rPr>
                <w:rFonts w:hint="eastAsia" w:ascii="宋体" w:hAnsi="宋体"/>
                <w:b w:val="0"/>
                <w:bCs/>
                <w:sz w:val="21"/>
                <w:szCs w:val="21"/>
              </w:rPr>
              <w:t>环境污染事故为零；万元产值降低电单耗1%；固体废弃物分类处理率为100%；</w:t>
            </w:r>
          </w:p>
          <w:p>
            <w:pPr>
              <w:spacing w:line="360" w:lineRule="auto"/>
              <w:rPr>
                <w:rFonts w:hint="eastAsia" w:ascii="宋体" w:hAnsi="宋体" w:eastAsia="宋体"/>
                <w:b w:val="0"/>
                <w:bCs/>
                <w:sz w:val="21"/>
                <w:szCs w:val="21"/>
                <w:lang w:eastAsia="zh-CN"/>
              </w:rPr>
            </w:pPr>
            <w:r>
              <w:rPr>
                <w:rFonts w:hint="eastAsia" w:ascii="宋体" w:hAnsi="宋体"/>
                <w:b w:val="0"/>
                <w:bCs/>
                <w:sz w:val="21"/>
                <w:szCs w:val="21"/>
              </w:rPr>
              <w:t>火灾事故为0</w:t>
            </w:r>
            <w:r>
              <w:rPr>
                <w:rFonts w:hint="eastAsia" w:ascii="宋体" w:hAnsi="宋体"/>
                <w:b w:val="0"/>
                <w:bCs/>
                <w:sz w:val="21"/>
                <w:szCs w:val="21"/>
                <w:lang w:eastAsia="zh-CN"/>
              </w:rPr>
              <w:t>；</w:t>
            </w:r>
            <w:r>
              <w:rPr>
                <w:rFonts w:hint="eastAsia" w:ascii="宋体" w:hAnsi="宋体"/>
                <w:b w:val="0"/>
                <w:bCs/>
                <w:sz w:val="21"/>
                <w:szCs w:val="21"/>
              </w:rPr>
              <w:t>环境影响投诉为0</w:t>
            </w:r>
            <w:r>
              <w:rPr>
                <w:rFonts w:hint="eastAsia" w:ascii="宋体" w:hAnsi="宋体"/>
                <w:b w:val="0"/>
                <w:bCs/>
                <w:sz w:val="21"/>
                <w:szCs w:val="21"/>
                <w:lang w:eastAsia="zh-CN"/>
              </w:rPr>
              <w:t>。</w:t>
            </w:r>
          </w:p>
          <w:p>
            <w:pPr>
              <w:spacing w:line="360" w:lineRule="auto"/>
              <w:rPr>
                <w:rFonts w:ascii="宋体" w:hAnsi="宋体"/>
                <w:b/>
                <w:sz w:val="21"/>
                <w:szCs w:val="21"/>
              </w:rPr>
            </w:pPr>
            <w:r>
              <w:rPr>
                <w:rFonts w:hint="eastAsia" w:ascii="宋体" w:hAnsi="宋体"/>
                <w:b w:val="0"/>
                <w:bCs/>
                <w:sz w:val="21"/>
                <w:szCs w:val="21"/>
              </w:rPr>
              <w:t>提供《目标指标和管理方案》</w:t>
            </w:r>
            <w:r>
              <w:rPr>
                <w:rFonts w:hint="eastAsia" w:ascii="宋体" w:hAnsi="宋体"/>
                <w:b w:val="0"/>
                <w:bCs/>
                <w:sz w:val="21"/>
                <w:szCs w:val="21"/>
                <w:lang w:eastAsia="zh-CN"/>
              </w:rPr>
              <w:t>、</w:t>
            </w:r>
            <w:r>
              <w:rPr>
                <w:rFonts w:hint="eastAsia" w:ascii="宋体" w:hAnsi="宋体"/>
                <w:b w:val="0"/>
                <w:bCs/>
                <w:sz w:val="21"/>
                <w:szCs w:val="21"/>
              </w:rPr>
              <w:t>《目标指标和管理方案考核表》以上目标指标均已完成，管理方案规定了措施方法、完成时间表、责任人、资金等情况。详见各部门记录。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6. 文件与记录控制(文审修订后文件与标准的符合程度评价、文件控制管理等)</w:t>
            </w:r>
          </w:p>
          <w:p>
            <w:pPr>
              <w:spacing w:line="360" w:lineRule="auto"/>
              <w:rPr>
                <w:rFonts w:hint="eastAsia" w:ascii="宋体" w:hAnsi="宋体" w:eastAsia="宋体" w:cs="宋体"/>
                <w:sz w:val="21"/>
                <w:szCs w:val="21"/>
              </w:rPr>
            </w:pPr>
            <w:r>
              <w:rPr>
                <w:rFonts w:hint="eastAsia" w:ascii="宋体" w:hAnsi="宋体" w:eastAsia="宋体" w:cs="宋体"/>
                <w:sz w:val="21"/>
                <w:szCs w:val="21"/>
              </w:rPr>
              <w:t>受审核方</w:t>
            </w:r>
            <w:r>
              <w:rPr>
                <w:rFonts w:hint="eastAsia" w:ascii="宋体" w:hAnsi="宋体" w:eastAsia="宋体" w:cs="宋体"/>
                <w:sz w:val="21"/>
                <w:szCs w:val="21"/>
                <w:lang w:val="en-US" w:eastAsia="zh-CN"/>
              </w:rPr>
              <w:t>提供</w:t>
            </w:r>
            <w:r>
              <w:rPr>
                <w:rFonts w:hint="eastAsia" w:ascii="宋体" w:hAnsi="宋体" w:eastAsia="宋体" w:cs="宋体"/>
                <w:sz w:val="21"/>
                <w:szCs w:val="21"/>
              </w:rPr>
              <w:t>的管理体系文件包括：</w:t>
            </w:r>
          </w:p>
          <w:p>
            <w:pPr>
              <w:numPr>
                <w:ilvl w:val="0"/>
                <w:numId w:val="3"/>
              </w:numPr>
              <w:spacing w:line="360" w:lineRule="auto"/>
              <w:rPr>
                <w:rFonts w:hint="eastAsia" w:ascii="宋体" w:hAnsi="宋体" w:eastAsia="宋体" w:cs="宋体"/>
                <w:sz w:val="21"/>
                <w:szCs w:val="21"/>
              </w:rPr>
            </w:pPr>
            <w:r>
              <w:rPr>
                <w:rFonts w:hint="eastAsia" w:ascii="宋体" w:hAnsi="宋体" w:eastAsia="宋体" w:cs="宋体"/>
                <w:sz w:val="21"/>
                <w:szCs w:val="21"/>
              </w:rPr>
              <w:t>管理手册</w:t>
            </w:r>
            <w:r>
              <w:rPr>
                <w:rFonts w:hint="eastAsia" w:ascii="宋体" w:hAnsi="宋体" w:eastAsia="宋体" w:cs="宋体"/>
                <w:sz w:val="21"/>
                <w:szCs w:val="21"/>
                <w:lang w:val="en-US" w:eastAsia="zh-CN"/>
              </w:rPr>
              <w:t>EMS/HJ</w:t>
            </w:r>
            <w:r>
              <w:rPr>
                <w:rFonts w:hint="eastAsia" w:ascii="宋体" w:hAnsi="宋体" w:eastAsia="宋体" w:cs="宋体"/>
                <w:sz w:val="21"/>
                <w:szCs w:val="21"/>
              </w:rPr>
              <w:t>-201</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 A</w:t>
            </w:r>
            <w:r>
              <w:rPr>
                <w:rFonts w:hint="eastAsia" w:ascii="宋体" w:hAnsi="宋体" w:eastAsia="宋体" w:cs="宋体"/>
                <w:sz w:val="21"/>
                <w:szCs w:val="21"/>
                <w:lang w:val="en-US" w:eastAsia="zh-CN"/>
              </w:rPr>
              <w:t>0</w:t>
            </w:r>
            <w:r>
              <w:rPr>
                <w:rFonts w:hint="eastAsia" w:ascii="宋体" w:hAnsi="宋体" w:eastAsia="宋体" w:cs="宋体"/>
                <w:bCs/>
                <w:sz w:val="21"/>
                <w:szCs w:val="21"/>
              </w:rPr>
              <w:t>版</w:t>
            </w:r>
            <w:r>
              <w:rPr>
                <w:rFonts w:hint="eastAsia" w:ascii="宋体" w:hAnsi="宋体" w:eastAsia="宋体" w:cs="宋体"/>
                <w:sz w:val="21"/>
                <w:szCs w:val="21"/>
              </w:rPr>
              <w:t>，发布时间：201</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实施时间：201</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2.程序文件，含</w:t>
            </w:r>
            <w:r>
              <w:rPr>
                <w:rFonts w:hint="eastAsia" w:ascii="宋体" w:hAnsi="宋体" w:eastAsia="宋体" w:cs="宋体"/>
                <w:sz w:val="21"/>
                <w:szCs w:val="21"/>
                <w:lang w:val="en-US" w:eastAsia="zh-CN"/>
              </w:rPr>
              <w:t>22</w:t>
            </w:r>
            <w:r>
              <w:rPr>
                <w:rFonts w:hint="eastAsia" w:ascii="宋体" w:hAnsi="宋体" w:eastAsia="宋体" w:cs="宋体"/>
                <w:sz w:val="21"/>
                <w:szCs w:val="21"/>
              </w:rPr>
              <w:t>个文件，包括标准要求的形成文件的信息。</w:t>
            </w:r>
          </w:p>
          <w:p>
            <w:pPr>
              <w:pStyle w:val="2"/>
              <w:tabs>
                <w:tab w:val="left" w:pos="3300"/>
                <w:tab w:val="left" w:pos="5160"/>
                <w:tab w:val="clear" w:pos="3510"/>
                <w:tab w:val="clear" w:pos="5580"/>
              </w:tabs>
              <w:spacing w:line="360" w:lineRule="auto"/>
              <w:rPr>
                <w:rFonts w:hint="eastAsia" w:ascii="宋体" w:hAnsi="宋体" w:eastAsia="宋体" w:cs="宋体"/>
                <w:sz w:val="21"/>
                <w:szCs w:val="21"/>
              </w:rPr>
            </w:pPr>
            <w:r>
              <w:rPr>
                <w:rFonts w:hint="eastAsia" w:ascii="宋体" w:hAnsi="宋体" w:eastAsia="宋体" w:cs="宋体"/>
                <w:b w:val="0"/>
                <w:bCs w:val="0"/>
                <w:sz w:val="21"/>
                <w:szCs w:val="21"/>
              </w:rPr>
              <w:t>3.管理制度汇编</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包括管理制度、合同管理制定、作业指导书等。</w:t>
            </w:r>
          </w:p>
          <w:p>
            <w:pPr>
              <w:spacing w:line="360" w:lineRule="auto"/>
              <w:rPr>
                <w:rFonts w:hint="eastAsia" w:ascii="宋体" w:hAnsi="宋体" w:eastAsia="宋体" w:cs="宋体"/>
                <w:sz w:val="21"/>
                <w:szCs w:val="21"/>
              </w:rPr>
            </w:pPr>
            <w:r>
              <w:rPr>
                <w:rFonts w:hint="eastAsia" w:ascii="宋体" w:hAnsi="宋体" w:eastAsia="宋体" w:cs="宋体"/>
                <w:sz w:val="21"/>
                <w:szCs w:val="21"/>
              </w:rPr>
              <w:t>4.体系运行所需要的文件和记录</w:t>
            </w:r>
            <w:r>
              <w:rPr>
                <w:rFonts w:hint="eastAsia" w:ascii="宋体" w:hAnsi="宋体" w:cs="宋体"/>
                <w:sz w:val="21"/>
                <w:szCs w:val="21"/>
                <w:lang w:eastAsia="zh-CN"/>
              </w:rPr>
              <w:t>，</w:t>
            </w:r>
            <w:r>
              <w:rPr>
                <w:rFonts w:hint="eastAsia" w:ascii="宋体" w:hAnsi="宋体" w:cs="宋体"/>
                <w:sz w:val="21"/>
                <w:szCs w:val="21"/>
                <w:lang w:val="en-US" w:eastAsia="zh-CN"/>
              </w:rPr>
              <w:t>执行</w:t>
            </w:r>
            <w:r>
              <w:rPr>
                <w:rFonts w:hint="eastAsia" w:ascii="宋体" w:hAnsi="宋体" w:eastAsia="宋体" w:cs="宋体"/>
                <w:sz w:val="21"/>
                <w:szCs w:val="21"/>
              </w:rPr>
              <w:t>《文件控制程序》，用于对管理体系文件，符合标准要求。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综合管理部</w:t>
            </w:r>
            <w:r>
              <w:rPr>
                <w:rFonts w:hint="eastAsia" w:ascii="宋体" w:hAnsi="宋体" w:cs="宋体"/>
                <w:sz w:val="21"/>
                <w:szCs w:val="21"/>
                <w:lang w:val="en-US" w:eastAsia="zh-CN"/>
              </w:rPr>
              <w:t>，</w:t>
            </w:r>
            <w:r>
              <w:rPr>
                <w:rFonts w:hint="eastAsia" w:ascii="宋体" w:hAnsi="宋体" w:eastAsia="宋体" w:cs="宋体"/>
                <w:sz w:val="21"/>
                <w:szCs w:val="21"/>
              </w:rPr>
              <w:t>管理手册、管理制度等文件均保管良好，为有效版本，有受控标识。</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eastAsia="宋体" w:cs="宋体"/>
                <w:sz w:val="21"/>
                <w:szCs w:val="21"/>
              </w:rPr>
              <w:t>负责收集有关产品的国家标准、行业标准的最新版本，分发到相关部门使用；收回旧标准。查见《记录清单》，内容包括：序号、记录名称、编号、保存期、使用部门等。</w:t>
            </w:r>
          </w:p>
          <w:p>
            <w:pPr>
              <w:tabs>
                <w:tab w:val="left" w:pos="540"/>
              </w:tabs>
              <w:spacing w:line="360" w:lineRule="auto"/>
              <w:rPr>
                <w:rFonts w:hint="eastAsia" w:ascii="宋体" w:hAnsi="宋体" w:eastAsia="宋体" w:cs="宋体"/>
                <w:sz w:val="21"/>
                <w:szCs w:val="21"/>
              </w:rPr>
            </w:pPr>
            <w:r>
              <w:rPr>
                <w:rFonts w:hint="eastAsia" w:ascii="宋体" w:hAnsi="宋体" w:eastAsia="宋体" w:cs="宋体"/>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生产、技术、检验、销售服务人员上岗前经过岗前培训，人员均经过专业培训。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hAnsi="宋体"/>
                <w:b w:val="0"/>
                <w:bCs/>
                <w:sz w:val="21"/>
                <w:szCs w:val="21"/>
              </w:rPr>
              <w:t>数控车床、加工中心、数控滚齿机床、卧式内拉机、拉刀磨、多孔钻床、台钻、外园磨床、锯床、滚丝机、摇臂钻床等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rPr>
                <w:rFonts w:ascii="宋体" w:hAnsi="宋体"/>
                <w:b/>
                <w:sz w:val="21"/>
                <w:szCs w:val="21"/>
              </w:rPr>
            </w:pPr>
            <w:r>
              <w:rPr>
                <w:rFonts w:hint="eastAsia" w:ascii="宋体" w:hAnsi="宋体"/>
                <w:b w:val="0"/>
                <w:bCs/>
                <w:sz w:val="21"/>
                <w:szCs w:val="21"/>
              </w:rPr>
              <w:t>现场观察办公区、生产车间环境卫生管理，工作场所布局合理，温湿度适宜，照明良好，满足办公需求。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ascii="宋体" w:hAnsi="宋体"/>
                <w:b/>
                <w:sz w:val="21"/>
                <w:szCs w:val="21"/>
              </w:rPr>
            </w:pPr>
            <w:r>
              <w:rPr>
                <w:rFonts w:hint="eastAsia" w:ascii="宋体"/>
                <w:color w:val="000000"/>
                <w:sz w:val="20"/>
                <w:szCs w:val="20"/>
                <w:lang w:val="en-US" w:eastAsia="zh-CN"/>
              </w:rPr>
              <w:t>硬度计、光谱仪、碳硫分析仪、元素分析仪、气密试验机、布、洛氏硬度计、金相显微镜、分析天平、三坐标测量机等检测设备20余台</w:t>
            </w:r>
            <w:r>
              <w:rPr>
                <w:rFonts w:hint="eastAsia" w:ascii="宋体" w:hAnsi="宋体"/>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spacing w:line="360" w:lineRule="auto"/>
              <w:rPr>
                <w:rFonts w:ascii="宋体" w:hAnsi="宋体"/>
                <w:b/>
                <w:sz w:val="21"/>
                <w:szCs w:val="21"/>
              </w:rPr>
            </w:pPr>
            <w:r>
              <w:rPr>
                <w:rFonts w:hint="eastAsia" w:ascii="宋体" w:hAnsi="宋体"/>
                <w:b w:val="0"/>
                <w:bCs/>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rPr>
                <w:rFonts w:ascii="宋体" w:hAnsi="宋体"/>
                <w:b/>
                <w:sz w:val="21"/>
                <w:szCs w:val="21"/>
              </w:rPr>
            </w:pPr>
            <w:r>
              <w:rPr>
                <w:rFonts w:hint="eastAsia" w:ascii="宋体" w:hAnsi="宋体"/>
                <w:b w:val="0"/>
                <w:bCs/>
                <w:sz w:val="21"/>
                <w:szCs w:val="21"/>
              </w:rPr>
              <w:t>除烟除尘器、排风机、危废存放间、灭火器、消防器材、隔音、绿化等。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rPr>
                <w:rFonts w:ascii="宋体" w:hAnsi="宋体"/>
                <w:b/>
                <w:sz w:val="21"/>
                <w:szCs w:val="21"/>
              </w:rPr>
            </w:pPr>
            <w:r>
              <w:rPr>
                <w:rFonts w:hint="eastAsia" w:ascii="宋体" w:hAnsi="宋体"/>
                <w:sz w:val="21"/>
                <w:szCs w:val="21"/>
                <w:u w:val="none"/>
              </w:rPr>
              <w:t>根据组织宗旨制定了管理体系方针，进行了有效沟通，在管理评审时进行评审，</w:t>
            </w:r>
            <w:r>
              <w:rPr>
                <w:rFonts w:ascii="宋体" w:hAnsi="宋体"/>
                <w:sz w:val="21"/>
                <w:szCs w:val="21"/>
                <w:u w:val="none"/>
              </w:rPr>
              <w:t>符合要求</w:t>
            </w:r>
            <w:r>
              <w:rPr>
                <w:rFonts w:hint="eastAsia" w:ascii="宋体" w:hAnsi="宋体"/>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360" w:lineRule="auto"/>
              <w:ind w:left="0" w:leftChars="0" w:firstLine="0" w:firstLineChars="0"/>
              <w:rPr>
                <w:rFonts w:ascii="宋体" w:hAnsi="宋体"/>
                <w:b/>
                <w:sz w:val="21"/>
                <w:szCs w:val="21"/>
              </w:rPr>
            </w:pP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内部沟通的情况：内部沟通方式：</w:t>
            </w:r>
            <w:r>
              <w:rPr>
                <w:rFonts w:hint="eastAsia" w:ascii="宋体" w:hAnsi="宋体" w:eastAsia="宋体" w:cs="宋体"/>
                <w:sz w:val="21"/>
                <w:szCs w:val="21"/>
                <w:u w:val="single"/>
              </w:rPr>
              <w:t>培训、会议、宣传栏；</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内部沟通的效果：</w:t>
            </w:r>
            <w:r>
              <w:rPr>
                <w:rFonts w:hint="eastAsia" w:ascii="宋体" w:hAnsi="宋体" w:eastAsia="宋体" w:cs="宋体"/>
                <w:sz w:val="21"/>
                <w:szCs w:val="21"/>
                <w:u w:val="single"/>
              </w:rPr>
              <w:t>沟通畅通；</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组织对外联络，关注顾客的感受情况（QMS）：</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外部信息的接收、成文并答复的情况（E、S填写）：</w:t>
            </w:r>
            <w:r>
              <w:rPr>
                <w:rFonts w:hint="eastAsia" w:ascii="宋体" w:hAnsi="宋体" w:eastAsia="宋体" w:cs="宋体"/>
                <w:sz w:val="21"/>
                <w:szCs w:val="21"/>
                <w:u w:val="single"/>
              </w:rPr>
              <w:t>参加相关部门组织的会议，接收相关部门下达的通知并在公司内部沟通传达。</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重要环境因素信息对外交流情况（EMS填写）：</w:t>
            </w:r>
            <w:r>
              <w:rPr>
                <w:rFonts w:hint="eastAsia" w:ascii="宋体" w:hAnsi="宋体" w:eastAsia="宋体" w:cs="宋体"/>
                <w:sz w:val="21"/>
                <w:szCs w:val="21"/>
                <w:u w:val="single"/>
              </w:rPr>
              <w:t>对相关方进行环保告知。</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OHSMS事务代表协商和交流的情况（OHSMS填写）：</w:t>
            </w:r>
          </w:p>
          <w:p>
            <w:pPr>
              <w:spacing w:line="360" w:lineRule="auto"/>
              <w:rPr>
                <w:rFonts w:ascii="宋体" w:hAnsi="宋体"/>
                <w:b/>
                <w:sz w:val="21"/>
                <w:szCs w:val="21"/>
              </w:rPr>
            </w:pPr>
            <w:r>
              <w:rPr>
                <w:rFonts w:hint="eastAsia" w:ascii="宋体" w:hAnsi="宋体" w:eastAsia="宋体" w:cs="宋体"/>
                <w:b/>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rPr>
                <w:rFonts w:ascii="宋体" w:hAnsi="宋体"/>
                <w:b/>
                <w:sz w:val="21"/>
                <w:szCs w:val="21"/>
              </w:rPr>
            </w:pP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360" w:lineRule="auto"/>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360" w:lineRule="auto"/>
              <w:rPr>
                <w:rFonts w:hint="eastAsia" w:ascii="宋体" w:hAnsi="宋体"/>
                <w:b w:val="0"/>
                <w:bCs/>
                <w:sz w:val="21"/>
                <w:szCs w:val="21"/>
              </w:rPr>
            </w:pPr>
            <w:r>
              <w:rPr>
                <w:rFonts w:hint="eastAsia" w:ascii="宋体" w:hAnsi="宋体"/>
                <w:b w:val="0"/>
                <w:bCs/>
                <w:sz w:val="21"/>
                <w:szCs w:val="21"/>
              </w:rPr>
              <w:t>1、废水管控：</w:t>
            </w:r>
          </w:p>
          <w:p>
            <w:pPr>
              <w:spacing w:line="360" w:lineRule="auto"/>
              <w:ind w:firstLine="420" w:firstLineChars="200"/>
              <w:rPr>
                <w:rFonts w:hint="eastAsia" w:ascii="宋体" w:hAnsi="宋体"/>
                <w:b w:val="0"/>
                <w:bCs/>
                <w:sz w:val="21"/>
                <w:szCs w:val="21"/>
              </w:rPr>
            </w:pPr>
            <w:r>
              <w:rPr>
                <w:rFonts w:hint="eastAsia" w:ascii="宋体" w:hAnsi="宋体"/>
                <w:b w:val="0"/>
                <w:bCs/>
                <w:sz w:val="21"/>
                <w:szCs w:val="21"/>
              </w:rPr>
              <w:t>强化水污染防治措施，按照“清污分流，雨污分流”的原则，合理建设厂区排水管网。项目运行期间产生的生活、生产污废水经由厂内一体化污水处理设施处理后，出水水质必须达到《黄河流域（陕西段）污水综合排放标准》（DB61/224-2011）中一级标准。</w:t>
            </w:r>
          </w:p>
          <w:p>
            <w:pPr>
              <w:spacing w:line="360" w:lineRule="auto"/>
              <w:rPr>
                <w:rFonts w:hint="eastAsia" w:ascii="宋体" w:hAnsi="宋体"/>
                <w:b w:val="0"/>
                <w:bCs/>
                <w:sz w:val="21"/>
                <w:szCs w:val="21"/>
              </w:rPr>
            </w:pPr>
            <w:r>
              <w:rPr>
                <w:rFonts w:hint="eastAsia" w:ascii="宋体" w:hAnsi="宋体"/>
                <w:b w:val="0"/>
                <w:bCs/>
                <w:sz w:val="21"/>
                <w:szCs w:val="21"/>
              </w:rPr>
              <w:t>2、废气管控：</w:t>
            </w:r>
          </w:p>
          <w:p>
            <w:pPr>
              <w:spacing w:line="360" w:lineRule="auto"/>
              <w:rPr>
                <w:rFonts w:hint="eastAsia" w:ascii="宋体" w:hAnsi="宋体"/>
                <w:b w:val="0"/>
                <w:bCs/>
                <w:sz w:val="21"/>
                <w:szCs w:val="21"/>
              </w:rPr>
            </w:pPr>
            <w:r>
              <w:rPr>
                <w:rFonts w:hint="eastAsia" w:ascii="宋体" w:hAnsi="宋体"/>
                <w:b w:val="0"/>
                <w:bCs/>
                <w:sz w:val="21"/>
                <w:szCs w:val="21"/>
              </w:rPr>
              <w:t xml:space="preserve">    废气主要来自车间粉尘，安装除烟除尘器进行有效控制；餐厅安装静电式油烟净化装置，确保经处理后的油烟满足《饮食业油烟排放标准》（GB18483-2001）要求。</w:t>
            </w:r>
          </w:p>
          <w:p>
            <w:pPr>
              <w:spacing w:line="360" w:lineRule="auto"/>
              <w:rPr>
                <w:rFonts w:hint="eastAsia" w:ascii="宋体" w:hAnsi="宋体"/>
                <w:b w:val="0"/>
                <w:bCs/>
                <w:sz w:val="21"/>
                <w:szCs w:val="21"/>
              </w:rPr>
            </w:pPr>
            <w:r>
              <w:rPr>
                <w:rFonts w:hint="eastAsia" w:ascii="宋体" w:hAnsi="宋体"/>
                <w:b w:val="0"/>
                <w:bCs/>
                <w:sz w:val="21"/>
                <w:szCs w:val="21"/>
              </w:rPr>
              <w:t>3、噪声管控：</w:t>
            </w:r>
          </w:p>
          <w:p>
            <w:pPr>
              <w:spacing w:line="360" w:lineRule="auto"/>
              <w:rPr>
                <w:rFonts w:hint="eastAsia" w:ascii="宋体" w:hAnsi="宋体"/>
                <w:b w:val="0"/>
                <w:bCs/>
                <w:sz w:val="21"/>
                <w:szCs w:val="21"/>
              </w:rPr>
            </w:pPr>
            <w:r>
              <w:rPr>
                <w:rFonts w:hint="eastAsia" w:ascii="宋体" w:hAnsi="宋体"/>
                <w:b w:val="0"/>
                <w:bCs/>
                <w:sz w:val="21"/>
                <w:szCs w:val="21"/>
              </w:rPr>
              <w:t>噪音主要来自各种生产机械设备运行时所产生的噪声，选用相对低耗能、低噪音的优质设备，生产车间的门窗均采用隔音效果好的门窗，各设备安装时对设备基座加装防震垫圈。</w:t>
            </w:r>
          </w:p>
          <w:p>
            <w:pPr>
              <w:spacing w:line="360" w:lineRule="auto"/>
              <w:rPr>
                <w:rFonts w:ascii="宋体" w:hAnsi="宋体"/>
                <w:b/>
                <w:sz w:val="21"/>
                <w:szCs w:val="21"/>
              </w:rPr>
            </w:pPr>
            <w:r>
              <w:rPr>
                <w:rFonts w:hint="eastAsia" w:ascii="宋体" w:hAnsi="宋体"/>
                <w:b w:val="0"/>
                <w:bCs/>
                <w:sz w:val="21"/>
                <w:szCs w:val="21"/>
              </w:rPr>
              <w:t>4、产生的各类废弃物实行分类处理。下角料等生产性固体废物经收集后综合利用或出售；废乳化液、废机油、废棉纱等危险固体废物委托有资质的单位处置；生活垃圾及时交由环卫部门集中运送填埋处理。危险固体废物仓库未见灭火器，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60" w:lineRule="auto"/>
              <w:rPr>
                <w:rFonts w:hint="eastAsia" w:ascii="宋体" w:hAnsi="宋体"/>
                <w:b w:val="0"/>
                <w:bCs/>
                <w:sz w:val="21"/>
                <w:szCs w:val="21"/>
              </w:rPr>
            </w:pPr>
            <w:r>
              <w:rPr>
                <w:rFonts w:hint="eastAsia" w:ascii="宋体" w:hAnsi="宋体"/>
                <w:b w:val="0"/>
                <w:bCs/>
                <w:sz w:val="21"/>
                <w:szCs w:val="21"/>
                <w:lang w:val="en-US" w:eastAsia="zh-CN"/>
              </w:rPr>
              <w:t>提供</w:t>
            </w:r>
            <w:r>
              <w:rPr>
                <w:rFonts w:hint="eastAsia" w:ascii="宋体" w:hAnsi="宋体"/>
                <w:b w:val="0"/>
                <w:bCs/>
                <w:sz w:val="21"/>
                <w:szCs w:val="21"/>
              </w:rPr>
              <w:t>火灾专项应急预案和重污染天气应急操作方案，包含有事件级别及不同级别事件的处理程序、事件处理组织机构及职责分工、通用及特殊处理程序、各岗位要求等。具有可操作性。</w:t>
            </w:r>
          </w:p>
          <w:p>
            <w:pPr>
              <w:spacing w:line="360" w:lineRule="auto"/>
              <w:rPr>
                <w:rFonts w:ascii="宋体" w:hAnsi="宋体"/>
                <w:b/>
                <w:sz w:val="21"/>
                <w:szCs w:val="21"/>
              </w:rPr>
            </w:pPr>
            <w:r>
              <w:rPr>
                <w:rFonts w:hint="eastAsia" w:ascii="宋体" w:hAnsi="宋体"/>
                <w:b w:val="0"/>
                <w:bCs/>
                <w:sz w:val="21"/>
                <w:szCs w:val="21"/>
              </w:rPr>
              <w:t>定期记录应急预案的演练，应急演练后对应急预案进行了评审，应急预案不重要修订。基本符合。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jc w:val="left"/>
              <w:rPr>
                <w:rFonts w:ascii="宋体" w:hAnsi="宋体"/>
                <w:b/>
                <w:sz w:val="21"/>
                <w:szCs w:val="21"/>
              </w:rPr>
            </w:pPr>
            <w:r>
              <w:rPr>
                <w:rFonts w:hint="eastAsia"/>
                <w:color w:val="000000"/>
                <w:sz w:val="20"/>
                <w:szCs w:val="20"/>
                <w:u w:val="none"/>
                <w:lang w:val="en-US" w:eastAsia="zh-CN"/>
              </w:rPr>
              <w:t>行车、</w:t>
            </w:r>
            <w:r>
              <w:rPr>
                <w:rFonts w:hint="eastAsia"/>
                <w:color w:val="000000"/>
                <w:sz w:val="20"/>
                <w:szCs w:val="20"/>
                <w:u w:val="none"/>
              </w:rPr>
              <w:t>叉车</w:t>
            </w:r>
            <w:r>
              <w:rPr>
                <w:rFonts w:hint="eastAsia"/>
                <w:color w:val="000000"/>
                <w:sz w:val="20"/>
                <w:szCs w:val="20"/>
                <w:u w:val="none"/>
                <w:lang w:val="en-US" w:eastAsia="zh-CN"/>
              </w:rPr>
              <w:t>经</w:t>
            </w:r>
            <w:r>
              <w:rPr>
                <w:rFonts w:hint="eastAsia"/>
                <w:color w:val="000000"/>
                <w:sz w:val="20"/>
                <w:szCs w:val="20"/>
                <w:u w:val="none"/>
              </w:rPr>
              <w:t>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60" w:lineRule="auto"/>
              <w:rPr>
                <w:rFonts w:ascii="宋体" w:hAnsi="宋体"/>
                <w:b/>
                <w:sz w:val="21"/>
                <w:szCs w:val="21"/>
              </w:rPr>
            </w:pPr>
            <w:r>
              <w:rPr>
                <w:color w:val="000000"/>
                <w:sz w:val="20"/>
                <w:szCs w:val="20"/>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105" w:firstLineChars="50"/>
              <w:rPr>
                <w:rFonts w:ascii="宋体" w:hAnsi="宋体"/>
                <w:b/>
                <w:sz w:val="21"/>
                <w:szCs w:val="21"/>
              </w:rPr>
            </w:pPr>
            <w:r>
              <w:rPr>
                <w:rFonts w:hint="eastAsia" w:ascii="宋体" w:hAnsi="宋体"/>
                <w:sz w:val="21"/>
                <w:szCs w:val="21"/>
                <w:u w:val="none"/>
              </w:rPr>
              <w:t>20</w:t>
            </w:r>
            <w:r>
              <w:rPr>
                <w:rFonts w:hint="eastAsia" w:ascii="宋体" w:hAnsi="宋体"/>
                <w:sz w:val="21"/>
                <w:szCs w:val="21"/>
                <w:u w:val="none"/>
                <w:lang w:val="en-US" w:eastAsia="zh-CN"/>
              </w:rPr>
              <w:t>20</w:t>
            </w:r>
            <w:r>
              <w:rPr>
                <w:rFonts w:hint="eastAsia" w:ascii="宋体" w:hAnsi="宋体"/>
                <w:sz w:val="21"/>
                <w:szCs w:val="21"/>
                <w:u w:val="none"/>
              </w:rPr>
              <w:t>年</w:t>
            </w:r>
            <w:r>
              <w:rPr>
                <w:rFonts w:hint="eastAsia" w:ascii="宋体" w:hAnsi="宋体"/>
                <w:sz w:val="21"/>
                <w:szCs w:val="21"/>
                <w:u w:val="none"/>
                <w:lang w:val="en-US" w:eastAsia="zh-CN"/>
              </w:rPr>
              <w:t>12</w:t>
            </w:r>
            <w:r>
              <w:rPr>
                <w:rFonts w:hint="eastAsia" w:ascii="宋体" w:hAnsi="宋体"/>
                <w:sz w:val="21"/>
                <w:szCs w:val="21"/>
                <w:u w:val="none"/>
              </w:rPr>
              <w:t>月</w:t>
            </w:r>
            <w:r>
              <w:rPr>
                <w:rFonts w:hint="eastAsia" w:ascii="宋体" w:hAnsi="宋体"/>
                <w:sz w:val="21"/>
                <w:szCs w:val="21"/>
                <w:u w:val="none"/>
                <w:lang w:val="en-US" w:eastAsia="zh-CN"/>
              </w:rPr>
              <w:t>25</w:t>
            </w:r>
            <w:r>
              <w:rPr>
                <w:rFonts w:hint="eastAsia" w:ascii="宋体" w:hAnsi="宋体"/>
                <w:sz w:val="21"/>
                <w:szCs w:val="21"/>
                <w:u w:val="none"/>
              </w:rPr>
              <w:t>日对环境目标指标进行了检查，能达标。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360" w:lineRule="auto"/>
              <w:ind w:left="0" w:leftChars="0" w:firstLine="0" w:firstLineChars="0"/>
              <w:rPr>
                <w:rFonts w:hint="eastAsia" w:ascii="宋体" w:hAnsi="宋体"/>
                <w:b/>
                <w:sz w:val="21"/>
                <w:szCs w:val="21"/>
              </w:rPr>
            </w:pPr>
            <w:r>
              <w:rPr>
                <w:rFonts w:hint="eastAsia" w:ascii="宋体" w:hAnsi="宋体"/>
                <w:b/>
                <w:sz w:val="21"/>
                <w:szCs w:val="21"/>
              </w:rPr>
              <w:t>顾客满意</w:t>
            </w:r>
          </w:p>
          <w:p>
            <w:pPr>
              <w:numPr>
                <w:ilvl w:val="0"/>
                <w:numId w:val="0"/>
              </w:numPr>
              <w:spacing w:line="360" w:lineRule="auto"/>
              <w:ind w:leftChars="0" w:firstLine="420" w:firstLineChars="200"/>
              <w:rPr>
                <w:rFonts w:ascii="宋体" w:hAnsi="宋体"/>
                <w:b/>
                <w:sz w:val="21"/>
                <w:szCs w:val="21"/>
              </w:rPr>
            </w:pPr>
            <w:r>
              <w:rPr>
                <w:rFonts w:hint="eastAsia" w:ascii="宋体" w:hAnsi="宋体"/>
                <w:b w:val="0"/>
                <w:bCs/>
                <w:sz w:val="21"/>
                <w:szCs w:val="21"/>
              </w:rPr>
              <w:t xml:space="preserve">通过电话，走访等形式，接受顾客反馈，了解顾客满意度信息，发放调查表对顾客满意度进行定量测量。提供“顾客满意程度调查表”顾客较满意。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rPr>
                <w:b/>
                <w:color w:val="000000" w:themeColor="text1"/>
                <w:sz w:val="21"/>
                <w:szCs w:val="21"/>
              </w:rPr>
            </w:pPr>
            <w:r>
              <w:rPr>
                <w:rFonts w:hint="eastAsia" w:asciiTheme="minorEastAsia" w:hAnsiTheme="minorEastAsia" w:eastAsiaTheme="minorEastAsia"/>
                <w:color w:val="000000" w:themeColor="text1"/>
                <w:sz w:val="21"/>
                <w:szCs w:val="21"/>
                <w:u w:val="single"/>
              </w:rPr>
              <w:t>每年一次，本次2020.5.2-5.3日内审。</w:t>
            </w:r>
          </w:p>
          <w:p>
            <w:pPr>
              <w:spacing w:line="360" w:lineRule="auto"/>
              <w:rPr>
                <w:b/>
                <w:color w:val="000000" w:themeColor="text1"/>
                <w:sz w:val="21"/>
                <w:szCs w:val="21"/>
              </w:rPr>
            </w:pPr>
            <w:r>
              <w:rPr>
                <w:rFonts w:hint="eastAsia"/>
                <w:b/>
                <w:color w:val="000000" w:themeColor="text1"/>
                <w:sz w:val="21"/>
                <w:szCs w:val="21"/>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覆盖。</w:t>
            </w:r>
          </w:p>
          <w:p>
            <w:pPr>
              <w:spacing w:line="360" w:lineRule="auto"/>
              <w:rPr>
                <w:b/>
                <w:color w:val="000000" w:themeColor="text1"/>
                <w:sz w:val="21"/>
                <w:szCs w:val="21"/>
              </w:rPr>
            </w:pPr>
            <w:r>
              <w:rPr>
                <w:rFonts w:hint="eastAsia"/>
                <w:b/>
                <w:color w:val="000000" w:themeColor="text1"/>
                <w:sz w:val="21"/>
                <w:szCs w:val="21"/>
              </w:rPr>
              <w:t>了解内审结论是什么？</w:t>
            </w:r>
          </w:p>
          <w:p>
            <w:pPr>
              <w:spacing w:line="360" w:lineRule="auto"/>
              <w:rPr>
                <w:rFonts w:ascii="宋体" w:hAnsi="宋体"/>
                <w:b/>
                <w:sz w:val="21"/>
                <w:szCs w:val="21"/>
              </w:rPr>
            </w:pPr>
            <w:r>
              <w:rPr>
                <w:rFonts w:hint="eastAsia" w:ascii="宋体" w:hAnsi="宋体"/>
                <w:sz w:val="21"/>
                <w:szCs w:val="21"/>
                <w:u w:val="single"/>
              </w:rPr>
              <w:t>公司的管理体系符合标准要求，体系运行有效</w:t>
            </w:r>
            <w:r>
              <w:rPr>
                <w:rFonts w:hint="eastAsia" w:asciiTheme="minorEastAsia" w:hAnsiTheme="minorEastAsia" w:eastAsiaTheme="minorEastAsia"/>
                <w:sz w:val="21"/>
                <w:szCs w:val="21"/>
                <w:u w:val="single"/>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了解管理评审的策划; </w:t>
            </w:r>
          </w:p>
          <w:p>
            <w:pPr>
              <w:spacing w:line="360" w:lineRule="auto"/>
              <w:ind w:firstLine="210" w:firstLineChars="100"/>
              <w:rPr>
                <w:rFonts w:hint="eastAsia" w:ascii="宋体" w:hAnsi="宋体" w:eastAsia="宋体" w:cs="宋体"/>
                <w:sz w:val="21"/>
                <w:szCs w:val="21"/>
                <w:u w:val="single"/>
              </w:rPr>
            </w:pPr>
            <w:r>
              <w:rPr>
                <w:rFonts w:hint="eastAsia" w:ascii="宋体" w:hAnsi="宋体" w:eastAsia="宋体" w:cs="宋体"/>
                <w:sz w:val="21"/>
                <w:szCs w:val="21"/>
                <w:u w:val="single"/>
              </w:rPr>
              <w:t>每年一次，20</w:t>
            </w:r>
            <w:r>
              <w:rPr>
                <w:rFonts w:hint="eastAsia" w:ascii="宋体" w:hAnsi="宋体" w:eastAsia="宋体" w:cs="宋体"/>
                <w:sz w:val="21"/>
                <w:szCs w:val="21"/>
                <w:u w:val="single"/>
                <w:lang w:val="en-US" w:eastAsia="zh-CN"/>
              </w:rPr>
              <w:t>20</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5</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10</w:t>
            </w:r>
            <w:r>
              <w:rPr>
                <w:rFonts w:hint="eastAsia" w:ascii="宋体" w:hAnsi="宋体" w:eastAsia="宋体" w:cs="宋体"/>
                <w:sz w:val="21"/>
                <w:szCs w:val="21"/>
                <w:u w:val="single"/>
              </w:rPr>
              <w:t>日管理评审。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了解管理评审输入是否充分; </w:t>
            </w:r>
          </w:p>
          <w:p>
            <w:pPr>
              <w:spacing w:line="360" w:lineRule="auto"/>
              <w:ind w:firstLine="210" w:firstLineChars="100"/>
              <w:rPr>
                <w:rFonts w:hint="eastAsia" w:ascii="宋体" w:hAnsi="宋体" w:eastAsia="宋体" w:cs="宋体"/>
                <w:sz w:val="21"/>
                <w:szCs w:val="21"/>
                <w:u w:val="single"/>
              </w:rPr>
            </w:pPr>
            <w:r>
              <w:rPr>
                <w:rFonts w:hint="eastAsia" w:ascii="宋体" w:hAnsi="宋体" w:eastAsia="宋体" w:cs="宋体"/>
                <w:sz w:val="21"/>
                <w:szCs w:val="21"/>
                <w:u w:val="single"/>
              </w:rPr>
              <w:t>输入基本充分。</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了解管理评审结论; </w:t>
            </w:r>
          </w:p>
          <w:p>
            <w:pPr>
              <w:spacing w:line="360" w:lineRule="auto"/>
              <w:rPr>
                <w:rFonts w:ascii="宋体" w:hAnsi="宋体"/>
                <w:b/>
                <w:sz w:val="21"/>
                <w:szCs w:val="21"/>
              </w:rPr>
            </w:pPr>
            <w:r>
              <w:rPr>
                <w:rFonts w:hint="eastAsia" w:ascii="宋体" w:hAnsi="宋体" w:eastAsia="宋体" w:cs="宋体"/>
                <w:sz w:val="21"/>
                <w:szCs w:val="21"/>
                <w:u w:val="single"/>
              </w:rPr>
              <w:t>　公司的管理体系是适宜的、充分的和有效的。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360" w:lineRule="auto"/>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360" w:lineRule="auto"/>
              <w:ind w:leftChars="0"/>
              <w:rPr>
                <w:rFonts w:hint="eastAsia" w:ascii="宋体" w:hAnsi="宋体" w:eastAsia="宋体"/>
                <w:b w:val="0"/>
                <w:bCs/>
                <w:sz w:val="21"/>
                <w:szCs w:val="21"/>
                <w:lang w:eastAsia="zh-CN"/>
              </w:rPr>
            </w:pPr>
            <w:r>
              <w:rPr>
                <w:rFonts w:hint="eastAsia" w:ascii="宋体" w:hAnsi="宋体"/>
                <w:b w:val="0"/>
                <w:bCs/>
                <w:sz w:val="21"/>
                <w:szCs w:val="21"/>
              </w:rPr>
              <w:t>提供20</w:t>
            </w:r>
            <w:r>
              <w:rPr>
                <w:rFonts w:hint="eastAsia" w:ascii="宋体" w:hAnsi="宋体"/>
                <w:b w:val="0"/>
                <w:bCs/>
                <w:sz w:val="21"/>
                <w:szCs w:val="21"/>
                <w:lang w:val="en-US" w:eastAsia="zh-CN"/>
              </w:rPr>
              <w:t>20</w:t>
            </w:r>
            <w:r>
              <w:rPr>
                <w:rFonts w:hint="eastAsia" w:ascii="宋体" w:hAnsi="宋体"/>
                <w:b w:val="0"/>
                <w:bCs/>
                <w:sz w:val="21"/>
                <w:szCs w:val="21"/>
              </w:rPr>
              <w:t>年</w:t>
            </w:r>
            <w:r>
              <w:rPr>
                <w:rFonts w:hint="eastAsia" w:ascii="宋体" w:hAnsi="宋体"/>
                <w:b w:val="0"/>
                <w:bCs/>
                <w:sz w:val="21"/>
                <w:szCs w:val="21"/>
                <w:lang w:val="en-US" w:eastAsia="zh-CN"/>
              </w:rPr>
              <w:t>6</w:t>
            </w:r>
            <w:r>
              <w:rPr>
                <w:rFonts w:hint="eastAsia" w:ascii="宋体" w:hAnsi="宋体"/>
                <w:b w:val="0"/>
                <w:bCs/>
                <w:sz w:val="21"/>
                <w:szCs w:val="21"/>
              </w:rPr>
              <w:t>月9日</w:t>
            </w:r>
            <w:r>
              <w:rPr>
                <w:rFonts w:hint="eastAsia" w:ascii="宋体" w:hAnsi="宋体"/>
                <w:b w:val="0"/>
                <w:bCs/>
                <w:sz w:val="21"/>
                <w:szCs w:val="21"/>
                <w:lang w:val="en-US" w:eastAsia="zh-CN"/>
              </w:rPr>
              <w:t>安讯检测（综）第202006002</w:t>
            </w:r>
            <w:r>
              <w:rPr>
                <w:rFonts w:hint="eastAsia" w:ascii="宋体" w:hAnsi="宋体"/>
                <w:b w:val="0"/>
                <w:bCs/>
                <w:sz w:val="21"/>
                <w:szCs w:val="21"/>
              </w:rPr>
              <w:t>号监测报告，提供20</w:t>
            </w:r>
            <w:r>
              <w:rPr>
                <w:rFonts w:hint="eastAsia" w:ascii="宋体" w:hAnsi="宋体"/>
                <w:b w:val="0"/>
                <w:bCs/>
                <w:sz w:val="21"/>
                <w:szCs w:val="21"/>
                <w:lang w:val="en-US" w:eastAsia="zh-CN"/>
              </w:rPr>
              <w:t>20</w:t>
            </w:r>
            <w:r>
              <w:rPr>
                <w:rFonts w:hint="eastAsia" w:ascii="宋体" w:hAnsi="宋体"/>
                <w:b w:val="0"/>
                <w:bCs/>
                <w:sz w:val="21"/>
                <w:szCs w:val="21"/>
              </w:rPr>
              <w:t>年</w:t>
            </w:r>
            <w:r>
              <w:rPr>
                <w:rFonts w:hint="eastAsia" w:ascii="宋体" w:hAnsi="宋体"/>
                <w:b w:val="0"/>
                <w:bCs/>
                <w:sz w:val="21"/>
                <w:szCs w:val="21"/>
                <w:lang w:val="en-US" w:eastAsia="zh-CN"/>
              </w:rPr>
              <w:t>6</w:t>
            </w:r>
            <w:r>
              <w:rPr>
                <w:rFonts w:hint="eastAsia" w:ascii="宋体" w:hAnsi="宋体"/>
                <w:b w:val="0"/>
                <w:bCs/>
                <w:sz w:val="21"/>
                <w:szCs w:val="21"/>
              </w:rPr>
              <w:t>月</w:t>
            </w:r>
            <w:r>
              <w:rPr>
                <w:rFonts w:hint="eastAsia" w:ascii="宋体" w:hAnsi="宋体"/>
                <w:b w:val="0"/>
                <w:bCs/>
                <w:sz w:val="21"/>
                <w:szCs w:val="21"/>
                <w:lang w:val="en-US" w:eastAsia="zh-CN"/>
              </w:rPr>
              <w:t>8</w:t>
            </w:r>
            <w:r>
              <w:rPr>
                <w:rFonts w:hint="eastAsia" w:ascii="宋体" w:hAnsi="宋体"/>
                <w:b w:val="0"/>
                <w:bCs/>
                <w:sz w:val="21"/>
                <w:szCs w:val="21"/>
              </w:rPr>
              <w:t>日</w:t>
            </w:r>
            <w:r>
              <w:rPr>
                <w:rFonts w:hint="eastAsia" w:ascii="宋体" w:hAnsi="宋体"/>
                <w:b w:val="0"/>
                <w:bCs/>
                <w:sz w:val="21"/>
                <w:szCs w:val="21"/>
                <w:lang w:val="en-US" w:eastAsia="zh-CN"/>
              </w:rPr>
              <w:t>安讯检测（综）第202006009</w:t>
            </w:r>
            <w:r>
              <w:rPr>
                <w:rFonts w:hint="eastAsia" w:ascii="宋体" w:hAnsi="宋体"/>
                <w:b w:val="0"/>
                <w:bCs/>
                <w:sz w:val="21"/>
                <w:szCs w:val="21"/>
              </w:rPr>
              <w:t>号监测报告，</w:t>
            </w:r>
            <w:r>
              <w:rPr>
                <w:rFonts w:hint="eastAsia" w:ascii="宋体" w:hAnsi="宋体"/>
                <w:b w:val="0"/>
                <w:bCs/>
                <w:sz w:val="21"/>
                <w:szCs w:val="21"/>
                <w:lang w:val="en-US" w:eastAsia="zh-CN"/>
              </w:rPr>
              <w:t>监测项目:无组织废气、有组织废气、污水、噪声、雨水</w:t>
            </w:r>
            <w:r>
              <w:rPr>
                <w:rFonts w:hint="eastAsia" w:ascii="宋体" w:hAnsi="宋体"/>
                <w:b w:val="0"/>
                <w:bCs/>
                <w:sz w:val="21"/>
                <w:szCs w:val="21"/>
                <w:lang w:eastAsia="zh-CN"/>
              </w:rPr>
              <w:t>，</w:t>
            </w:r>
          </w:p>
          <w:p>
            <w:pPr>
              <w:spacing w:line="360" w:lineRule="auto"/>
              <w:rPr>
                <w:rFonts w:ascii="宋体" w:hAnsi="宋体"/>
                <w:b/>
                <w:sz w:val="21"/>
                <w:szCs w:val="21"/>
              </w:rPr>
            </w:pPr>
            <w:r>
              <w:rPr>
                <w:rFonts w:hint="eastAsia" w:ascii="宋体" w:hAnsi="宋体"/>
                <w:b w:val="0"/>
                <w:bCs/>
                <w:sz w:val="21"/>
                <w:szCs w:val="21"/>
              </w:rPr>
              <w:t xml:space="preserve">监测结果为： 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360" w:lineRule="auto"/>
              <w:rPr>
                <w:rFonts w:ascii="宋体" w:hAnsi="宋体"/>
                <w:b/>
                <w:sz w:val="21"/>
                <w:szCs w:val="21"/>
              </w:rPr>
            </w:pPr>
            <w:r>
              <w:rPr>
                <w:rFonts w:hint="eastAsia" w:ascii="宋体" w:hAnsi="宋体" w:eastAsia="宋体" w:cs="宋体"/>
                <w:sz w:val="21"/>
                <w:szCs w:val="21"/>
              </w:rPr>
              <w:t>提供201</w:t>
            </w:r>
            <w:r>
              <w:rPr>
                <w:rFonts w:hint="eastAsia" w:ascii="宋体" w:hAnsi="宋体" w:cs="宋体"/>
                <w:sz w:val="21"/>
                <w:szCs w:val="21"/>
                <w:lang w:val="en-US" w:eastAsia="zh-CN"/>
              </w:rPr>
              <w:t>3</w:t>
            </w:r>
            <w:r>
              <w:rPr>
                <w:rFonts w:hint="eastAsia" w:ascii="宋体" w:hAnsi="宋体" w:eastAsia="宋体" w:cs="宋体"/>
                <w:sz w:val="21"/>
                <w:szCs w:val="21"/>
              </w:rPr>
              <w:t>年</w:t>
            </w:r>
            <w:r>
              <w:rPr>
                <w:rFonts w:hint="eastAsia" w:ascii="宋体" w:hAnsi="宋体" w:cs="宋体"/>
                <w:sz w:val="21"/>
                <w:szCs w:val="21"/>
                <w:lang w:val="en-US" w:eastAsia="zh-CN"/>
              </w:rPr>
              <w:t>5</w:t>
            </w:r>
            <w:r>
              <w:rPr>
                <w:rFonts w:hint="eastAsia" w:ascii="宋体" w:hAnsi="宋体" w:eastAsia="宋体" w:cs="宋体"/>
                <w:sz w:val="21"/>
                <w:szCs w:val="21"/>
              </w:rPr>
              <w:t>月公司</w:t>
            </w:r>
            <w:r>
              <w:rPr>
                <w:rFonts w:hint="eastAsia" w:ascii="宋体" w:hAnsi="宋体" w:cs="宋体"/>
                <w:sz w:val="21"/>
                <w:szCs w:val="21"/>
                <w:lang w:val="en-US" w:eastAsia="zh-CN"/>
              </w:rPr>
              <w:t>重型</w:t>
            </w:r>
            <w:r>
              <w:rPr>
                <w:rFonts w:hint="eastAsia" w:ascii="宋体" w:hAnsi="宋体" w:eastAsia="宋体" w:cs="宋体"/>
                <w:sz w:val="21"/>
                <w:szCs w:val="21"/>
                <w:lang w:val="en-US" w:eastAsia="zh-CN"/>
              </w:rPr>
              <w:t>汽车零部件加工</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cs="宋体"/>
                <w:sz w:val="21"/>
                <w:szCs w:val="21"/>
                <w:lang w:val="en-US" w:eastAsia="zh-CN"/>
              </w:rPr>
              <w:t>礼泉县</w:t>
            </w:r>
            <w:r>
              <w:rPr>
                <w:rFonts w:hint="eastAsia" w:ascii="宋体" w:hAnsi="宋体" w:eastAsia="宋体" w:cs="宋体"/>
                <w:sz w:val="21"/>
                <w:szCs w:val="21"/>
                <w:lang w:val="en-US" w:eastAsia="zh-CN"/>
              </w:rPr>
              <w:t>环境保护局关于</w:t>
            </w:r>
            <w:r>
              <w:rPr>
                <w:rFonts w:hint="eastAsia" w:ascii="宋体" w:hAnsi="宋体" w:cs="宋体"/>
                <w:sz w:val="21"/>
                <w:szCs w:val="21"/>
                <w:lang w:val="en-US" w:eastAsia="zh-CN"/>
              </w:rPr>
              <w:t>礼泉华骏机械制造有限公司重型</w:t>
            </w:r>
            <w:r>
              <w:rPr>
                <w:rFonts w:hint="eastAsia" w:ascii="宋体" w:hAnsi="宋体" w:eastAsia="宋体" w:cs="宋体"/>
                <w:sz w:val="21"/>
                <w:szCs w:val="21"/>
                <w:lang w:val="en-US" w:eastAsia="zh-CN"/>
              </w:rPr>
              <w:t>汽车零部件加工</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cs="宋体"/>
                <w:sz w:val="21"/>
                <w:szCs w:val="21"/>
                <w:lang w:val="en-US" w:eastAsia="zh-CN"/>
              </w:rPr>
              <w:t>的批复</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礼环批复</w:t>
            </w:r>
            <w:r>
              <w:rPr>
                <w:rFonts w:hint="eastAsia" w:ascii="宋体" w:hAnsi="宋体" w:eastAsia="宋体" w:cs="宋体"/>
                <w:sz w:val="21"/>
                <w:szCs w:val="21"/>
                <w:lang w:val="en-US" w:eastAsia="zh-CN"/>
              </w:rPr>
              <w:t>（201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2号</w:t>
            </w:r>
            <w:r>
              <w:rPr>
                <w:rFonts w:hint="eastAsia" w:ascii="宋体" w:hAnsi="宋体" w:eastAsia="宋体" w:cs="宋体"/>
                <w:sz w:val="21"/>
                <w:szCs w:val="21"/>
              </w:rPr>
              <w:t>，提供了</w:t>
            </w:r>
            <w:r>
              <w:rPr>
                <w:rFonts w:hint="eastAsia" w:ascii="宋体" w:hAnsi="宋体" w:eastAsia="宋体" w:cs="宋体"/>
                <w:sz w:val="21"/>
                <w:szCs w:val="21"/>
                <w:lang w:val="en-US" w:eastAsia="zh-CN"/>
              </w:rPr>
              <w:t>201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关于</w:t>
            </w:r>
            <w:r>
              <w:rPr>
                <w:rFonts w:hint="eastAsia" w:ascii="宋体" w:hAnsi="宋体" w:cs="宋体"/>
                <w:sz w:val="21"/>
                <w:szCs w:val="21"/>
                <w:lang w:val="en-US" w:eastAsia="zh-CN"/>
              </w:rPr>
              <w:t>陕西华骏机械制造有限公司重型</w:t>
            </w:r>
            <w:r>
              <w:rPr>
                <w:rFonts w:hint="eastAsia" w:ascii="宋体" w:hAnsi="宋体" w:eastAsia="宋体" w:cs="宋体"/>
                <w:sz w:val="21"/>
                <w:szCs w:val="21"/>
                <w:lang w:val="en-US" w:eastAsia="zh-CN"/>
              </w:rPr>
              <w:t>汽车零部件加工</w:t>
            </w:r>
            <w:r>
              <w:rPr>
                <w:rFonts w:hint="eastAsia" w:ascii="宋体" w:hAnsi="宋体" w:eastAsia="宋体" w:cs="宋体"/>
                <w:sz w:val="21"/>
                <w:szCs w:val="21"/>
              </w:rPr>
              <w:t>项目</w:t>
            </w:r>
            <w:r>
              <w:rPr>
                <w:rFonts w:hint="eastAsia" w:ascii="宋体" w:hAnsi="宋体" w:cs="宋体"/>
                <w:sz w:val="21"/>
                <w:szCs w:val="21"/>
                <w:lang w:val="en-US" w:eastAsia="zh-CN"/>
              </w:rPr>
              <w:t>竣工环境保护验收的批复</w:t>
            </w:r>
            <w:r>
              <w:rPr>
                <w:rFonts w:hint="eastAsia" w:ascii="宋体" w:hAnsi="宋体" w:eastAsia="宋体" w:cs="宋体"/>
                <w:sz w:val="21"/>
                <w:szCs w:val="21"/>
                <w:lang w:val="en-US" w:eastAsia="zh-CN"/>
              </w:rPr>
              <w:t>，</w:t>
            </w:r>
            <w:r>
              <w:rPr>
                <w:rFonts w:hint="eastAsia" w:ascii="宋体" w:hAnsi="宋体" w:eastAsia="宋体" w:cs="宋体"/>
                <w:sz w:val="21"/>
                <w:szCs w:val="21"/>
              </w:rPr>
              <w:t>企业环评已经过验收。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7.OHSMS</w:t>
            </w:r>
            <w:r>
              <w:rPr>
                <w:rFonts w:hint="eastAsia" w:ascii="宋体" w:hAnsi="宋体"/>
                <w:b/>
                <w:sz w:val="21"/>
                <w:szCs w:val="21"/>
              </w:rPr>
              <w:t>是否按规定对职业健康安全项目进行定期测量，结果是否满足相关要求：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360" w:lineRule="auto"/>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360" w:lineRule="auto"/>
              <w:rPr>
                <w:rFonts w:ascii="宋体" w:hAnsi="宋体"/>
                <w:b/>
                <w:sz w:val="21"/>
                <w:szCs w:val="21"/>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hint="eastAsia" w:ascii="宋体" w:hAnsi="宋体"/>
                <w:b w:val="0"/>
                <w:bCs/>
                <w:sz w:val="21"/>
                <w:szCs w:val="21"/>
              </w:rPr>
            </w:pPr>
            <w:r>
              <w:rPr>
                <w:rFonts w:hint="eastAsia" w:ascii="宋体" w:hAnsi="宋体"/>
                <w:b w:val="0"/>
                <w:bCs/>
                <w:sz w:val="21"/>
                <w:szCs w:val="21"/>
              </w:rPr>
              <w:t>企业自体系建立以来，通过内审的改进、管理评审；纠正措施的实施、顾客满意度调查等措施，采取了具体的改进措施。基本符合要求。</w:t>
            </w:r>
          </w:p>
          <w:p>
            <w:pPr>
              <w:spacing w:line="360" w:lineRule="auto"/>
              <w:rPr>
                <w:rFonts w:ascii="宋体" w:hAnsi="宋体"/>
                <w:b/>
                <w:sz w:val="21"/>
                <w:szCs w:val="21"/>
              </w:rPr>
            </w:pPr>
            <w:r>
              <w:rPr>
                <w:rFonts w:hint="eastAsia" w:ascii="宋体" w:hAnsi="宋体"/>
                <w:b w:val="0"/>
                <w:bCs/>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360" w:lineRule="auto"/>
              <w:ind w:left="0" w:leftChars="0" w:firstLine="0" w:firstLineChars="0"/>
              <w:rPr>
                <w:rFonts w:hint="eastAsia" w:ascii="宋体" w:hAnsi="宋体"/>
                <w:b/>
                <w:sz w:val="21"/>
                <w:szCs w:val="21"/>
                <w:lang w:eastAsia="zh-CN"/>
              </w:rPr>
            </w:pPr>
            <w:r>
              <w:rPr>
                <w:rFonts w:hint="eastAsia" w:ascii="宋体" w:hAnsi="宋体"/>
                <w:b/>
                <w:sz w:val="21"/>
                <w:szCs w:val="21"/>
              </w:rPr>
              <w:t>创新情况</w:t>
            </w:r>
            <w:r>
              <w:rPr>
                <w:rFonts w:hint="eastAsia" w:ascii="宋体" w:hAnsi="宋体"/>
                <w:b/>
                <w:sz w:val="21"/>
                <w:szCs w:val="21"/>
                <w:lang w:eastAsia="zh-CN"/>
              </w:rPr>
              <w:t>：</w:t>
            </w:r>
          </w:p>
          <w:p>
            <w:pPr>
              <w:numPr>
                <w:ilvl w:val="0"/>
                <w:numId w:val="0"/>
              </w:numPr>
              <w:spacing w:line="360" w:lineRule="auto"/>
              <w:ind w:leftChars="0"/>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360" w:lineRule="auto"/>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360" w:lineRule="auto"/>
              <w:ind w:leftChars="0"/>
              <w:rPr>
                <w:rFonts w:ascii="宋体" w:hAnsi="宋体"/>
                <w:b/>
                <w:sz w:val="21"/>
                <w:szCs w:val="21"/>
              </w:rPr>
            </w:pPr>
            <w:r>
              <w:rPr>
                <w:rFonts w:hint="eastAsia"/>
                <w:b w:val="0"/>
                <w:bCs w:val="0"/>
                <w:sz w:val="21"/>
                <w:szCs w:val="21"/>
                <w:lang w:val="en-US" w:eastAsia="zh-CN"/>
              </w:rPr>
              <w:t>初审时的不符合已经整改，措施有效。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10"/>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10"/>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1" w:hRule="atLeast"/>
          <w:jc w:val="center"/>
        </w:trPr>
        <w:tc>
          <w:tcPr>
            <w:tcW w:w="9523" w:type="dxa"/>
            <w:vAlign w:val="center"/>
          </w:tcPr>
          <w:p>
            <w:pPr>
              <w:spacing w:line="360" w:lineRule="auto"/>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360" w:lineRule="auto"/>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360" w:lineRule="auto"/>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360" w:lineRule="auto"/>
              <w:ind w:firstLine="420" w:firstLineChars="200"/>
              <w:rPr>
                <w:rFonts w:ascii="宋体" w:hAnsi="宋体"/>
                <w:b/>
                <w:szCs w:val="21"/>
              </w:rPr>
            </w:pPr>
            <w:r>
              <w:rPr>
                <w:rFonts w:hint="eastAsia" w:ascii="宋体" w:hAnsi="宋体"/>
                <w:b w:val="0"/>
                <w:bCs/>
                <w:sz w:val="21"/>
                <w:szCs w:val="21"/>
              </w:rPr>
              <w:t>组织建立并实施的管理体系基本符合标准要求，可能存在的重要风险可以得到有效控制，没有出现过环境事故以及顾客投诉事件发生，体系运行基本有效，组织初步建立了自我完善和自我改进机制。现场开具的不符合项在规定的期限内采取纠正措施并经审核组书面验证有效后，同意推荐认证注册</w:t>
            </w:r>
            <w:r>
              <w:rPr>
                <w:rFonts w:hint="eastAsia" w:ascii="宋体" w:hAnsi="宋体"/>
                <w:b w:val="0"/>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360" w:lineRule="auto"/>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360" w:lineRule="auto"/>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360" w:lineRule="auto"/>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360" w:lineRule="auto"/>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360" w:lineRule="auto"/>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600" w:firstLineChars="250"/>
        <w:rPr>
          <w:b/>
          <w:sz w:val="21"/>
        </w:rPr>
      </w:pPr>
      <w:r>
        <w:drawing>
          <wp:anchor distT="0" distB="0" distL="114300" distR="114300" simplePos="0" relativeHeight="251661312" behindDoc="0" locked="0" layoutInCell="1" allowOverlap="1">
            <wp:simplePos x="0" y="0"/>
            <wp:positionH relativeFrom="column">
              <wp:posOffset>2067560</wp:posOffset>
            </wp:positionH>
            <wp:positionV relativeFrom="paragraph">
              <wp:posOffset>12700</wp:posOffset>
            </wp:positionV>
            <wp:extent cx="335280" cy="265430"/>
            <wp:effectExtent l="0" t="0" r="762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35280" cy="265430"/>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2020.12.26</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w:t>
      </w:r>
      <w:r>
        <w:rPr>
          <w:rFonts w:hint="eastAsia"/>
          <w:b/>
          <w:sz w:val="21"/>
          <w:szCs w:val="21"/>
          <w:lang w:val="en-US" w:eastAsia="zh-CN"/>
        </w:rPr>
        <w:t xml:space="preserve"> </w:t>
      </w:r>
      <w:r>
        <w:rPr>
          <w:b/>
          <w:sz w:val="21"/>
          <w:szCs w:val="21"/>
        </w:rPr>
        <w:t xml:space="preserve">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default" w:eastAsia="宋体"/>
          <w:b/>
          <w:sz w:val="21"/>
          <w:szCs w:val="21"/>
          <w:u w:val="single"/>
          <w:lang w:val="en-US" w:eastAsia="zh-CN"/>
        </w:rPr>
      </w:pPr>
      <w:r>
        <w:drawing>
          <wp:anchor distT="0" distB="0" distL="114300" distR="114300" simplePos="0" relativeHeight="251662336" behindDoc="0" locked="0" layoutInCell="1" allowOverlap="1">
            <wp:simplePos x="0" y="0"/>
            <wp:positionH relativeFrom="column">
              <wp:posOffset>1261110</wp:posOffset>
            </wp:positionH>
            <wp:positionV relativeFrom="paragraph">
              <wp:posOffset>71755</wp:posOffset>
            </wp:positionV>
            <wp:extent cx="315595" cy="249555"/>
            <wp:effectExtent l="0" t="0" r="190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15595" cy="249555"/>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2020.12.28</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480" w:lineRule="auto"/>
        <w:rPr>
          <w:b/>
          <w:sz w:val="26"/>
          <w:szCs w:val="26"/>
        </w:rPr>
      </w:pPr>
      <w:r>
        <w:rPr>
          <w:rFonts w:hint="eastAsia"/>
          <w:b/>
          <w:sz w:val="26"/>
          <w:szCs w:val="26"/>
        </w:rPr>
        <w:t>十五、认证评定与批准</w:t>
      </w:r>
    </w:p>
    <w:p>
      <w:pPr>
        <w:numPr>
          <w:ilvl w:val="0"/>
          <w:numId w:val="5"/>
        </w:numPr>
        <w:spacing w:line="480" w:lineRule="auto"/>
        <w:rPr>
          <w:b/>
          <w:szCs w:val="24"/>
        </w:rPr>
      </w:pPr>
      <w:r>
        <w:rPr>
          <w:rFonts w:hint="eastAsia"/>
          <w:b/>
          <w:szCs w:val="24"/>
        </w:rPr>
        <w:t>技术委员会评定结论：</w:t>
      </w:r>
      <w:r>
        <w:rPr>
          <w:rFonts w:hint="eastAsia"/>
          <w:b/>
          <w:sz w:val="21"/>
          <w:szCs w:val="21"/>
          <w:lang w:eastAsia="zh-CN"/>
        </w:rPr>
        <w:t>□</w:t>
      </w:r>
      <w:r>
        <w:rPr>
          <w:rFonts w:hint="eastAsia"/>
          <w:b/>
          <w:sz w:val="21"/>
        </w:rPr>
        <w:t>同意审核组意见</w:t>
      </w:r>
      <w:r>
        <w:rPr>
          <w:rFonts w:hint="eastAsia"/>
          <w:b/>
          <w:sz w:val="21"/>
          <w:szCs w:val="21"/>
        </w:rPr>
        <w:t>□</w:t>
      </w:r>
      <w:r>
        <w:rPr>
          <w:rFonts w:hint="eastAsia"/>
          <w:b/>
          <w:sz w:val="21"/>
        </w:rPr>
        <w:t>不同意审核组意见</w:t>
      </w:r>
    </w:p>
    <w:p>
      <w:pPr>
        <w:spacing w:line="48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5"/>
        </w:numPr>
        <w:spacing w:line="48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48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480" w:lineRule="auto"/>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98" w:leftChars="-41" w:firstLine="810" w:firstLineChars="450"/>
      <w:jc w:val="left"/>
      <w:rPr>
        <w:rStyle w:val="18"/>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8"/>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4A6B6E"/>
    <w:multiLevelType w:val="singleLevel"/>
    <w:tmpl w:val="9F4A6B6E"/>
    <w:lvl w:ilvl="0" w:tentative="0">
      <w:start w:val="3"/>
      <w:numFmt w:val="decimal"/>
      <w:lvlText w:val="%1."/>
      <w:lvlJc w:val="left"/>
      <w:pPr>
        <w:tabs>
          <w:tab w:val="left" w:pos="312"/>
        </w:tabs>
      </w:pPr>
    </w:lvl>
  </w:abstractNum>
  <w:abstractNum w:abstractNumId="1">
    <w:nsid w:val="CAF313E8"/>
    <w:multiLevelType w:val="singleLevel"/>
    <w:tmpl w:val="CAF313E8"/>
    <w:lvl w:ilvl="0" w:tentative="0">
      <w:start w:val="2"/>
      <w:numFmt w:val="decimal"/>
      <w:suff w:val="nothing"/>
      <w:lvlText w:val="%1、"/>
      <w:lvlJc w:val="left"/>
    </w:lvl>
  </w:abstractNum>
  <w:abstractNum w:abstractNumId="2">
    <w:nsid w:val="F9EEFA5B"/>
    <w:multiLevelType w:val="singleLevel"/>
    <w:tmpl w:val="F9EEFA5B"/>
    <w:lvl w:ilvl="0" w:tentative="0">
      <w:start w:val="9"/>
      <w:numFmt w:val="decimal"/>
      <w:suff w:val="space"/>
      <w:lvlText w:val="%1."/>
      <w:lvlJc w:val="left"/>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0E4A31"/>
    <w:rsid w:val="17F85943"/>
    <w:rsid w:val="27882C95"/>
    <w:rsid w:val="2A0D3EBD"/>
    <w:rsid w:val="2D64397C"/>
    <w:rsid w:val="35C34B24"/>
    <w:rsid w:val="43464891"/>
    <w:rsid w:val="508C31C6"/>
    <w:rsid w:val="61AD4040"/>
    <w:rsid w:val="63C25CA2"/>
    <w:rsid w:val="64EF0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semiHidden/>
    <w:unhideWhenUsed/>
    <w:qFormat/>
    <w:uiPriority w:val="99"/>
    <w:pPr>
      <w:spacing w:after="120"/>
    </w:pPr>
  </w:style>
  <w:style w:type="paragraph" w:styleId="5">
    <w:name w:val="Body Text Indent"/>
    <w:basedOn w:val="1"/>
    <w:qFormat/>
    <w:uiPriority w:val="99"/>
    <w:pPr>
      <w:spacing w:after="120"/>
      <w:ind w:left="420" w:leftChars="200"/>
    </w:pPr>
    <w:rPr>
      <w:kern w:val="0"/>
      <w:sz w:val="24"/>
    </w:rPr>
  </w:style>
  <w:style w:type="paragraph" w:styleId="6">
    <w:name w:val="Balloon Text"/>
    <w:basedOn w:val="1"/>
    <w:link w:val="13"/>
    <w:semiHidden/>
    <w:qFormat/>
    <w:uiPriority w:val="99"/>
    <w:rPr>
      <w:sz w:val="18"/>
      <w:szCs w:val="18"/>
    </w:rPr>
  </w:style>
  <w:style w:type="paragraph" w:styleId="7">
    <w:name w:val="footer"/>
    <w:basedOn w:val="1"/>
    <w:link w:val="14"/>
    <w:semiHidden/>
    <w:uiPriority w:val="99"/>
    <w:pPr>
      <w:tabs>
        <w:tab w:val="center" w:pos="4153"/>
        <w:tab w:val="right" w:pos="8306"/>
      </w:tabs>
      <w:snapToGrid w:val="0"/>
      <w:jc w:val="left"/>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Body Text First Indent 2"/>
    <w:basedOn w:val="5"/>
    <w:qFormat/>
    <w:uiPriority w:val="99"/>
    <w:pPr>
      <w:spacing w:after="0"/>
      <w:ind w:left="0" w:leftChars="0" w:firstLine="420" w:firstLineChars="200"/>
      <w:jc w:val="left"/>
    </w:pPr>
    <w:rPr>
      <w:rFonts w:ascii="宋体" w:hAnsi="宋体" w:eastAsia="仿宋_GB2312"/>
      <w:color w:val="000000"/>
      <w:sz w:val="28"/>
      <w:szCs w:val="20"/>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semiHidden/>
    <w:qFormat/>
    <w:locked/>
    <w:uiPriority w:val="99"/>
    <w:rPr>
      <w:rFonts w:ascii="Times New Roman" w:hAnsi="Times New Roman" w:eastAsia="宋体" w:cs="Times New Roman"/>
      <w:sz w:val="18"/>
      <w:szCs w:val="18"/>
    </w:rPr>
  </w:style>
  <w:style w:type="character" w:customStyle="1" w:styleId="15">
    <w:name w:val="页眉 Char"/>
    <w:link w:val="8"/>
    <w:qFormat/>
    <w:locked/>
    <w:uiPriority w:val="0"/>
    <w:rPr>
      <w:sz w:val="18"/>
    </w:rPr>
  </w:style>
  <w:style w:type="character" w:customStyle="1" w:styleId="16">
    <w:name w:val="页眉 Char1"/>
    <w:semiHidden/>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rPr>
      <w:sz w:val="21"/>
      <w:szCs w:val="24"/>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2020-12-27T03:38:14Z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