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管理层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管代：林媛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上官鸿雪</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cs="宋体"/>
                <w:sz w:val="21"/>
                <w:szCs w:val="21"/>
                <w:lang w:val="en-US" w:eastAsia="zh-CN"/>
              </w:rPr>
              <w:t>26</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pacing w:line="360" w:lineRule="auto"/>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r>
              <w:rPr>
                <w:rFonts w:hint="eastAsia" w:ascii="宋体" w:hAnsi="宋体" w:eastAsia="宋体" w:cs="宋体"/>
                <w:kern w:val="0"/>
                <w:sz w:val="21"/>
                <w:szCs w:val="21"/>
                <w:lang w:val="en-US" w:eastAsia="zh-CN"/>
              </w:rPr>
              <w:t>。</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国家/地方监督抽查情况；顾客满意、相关方投诉及处理情况；验证企业相关资质证明的有效性，</w:t>
            </w:r>
            <w:r>
              <w:rPr>
                <w:rFonts w:hint="eastAsia" w:ascii="宋体" w:hAnsi="宋体" w:cs="宋体"/>
                <w:kern w:val="0"/>
                <w:sz w:val="21"/>
                <w:szCs w:val="21"/>
                <w:lang w:val="en-US" w:eastAsia="zh-CN"/>
              </w:rPr>
              <w:t>初审</w:t>
            </w:r>
            <w:r>
              <w:rPr>
                <w:rFonts w:hint="eastAsia" w:ascii="宋体" w:hAnsi="宋体" w:eastAsia="宋体" w:cs="宋体"/>
                <w:kern w:val="0"/>
                <w:sz w:val="21"/>
                <w:szCs w:val="21"/>
              </w:rPr>
              <w:t>问题验证；</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企业基本信息</w:t>
            </w:r>
          </w:p>
        </w:tc>
        <w:tc>
          <w:tcPr>
            <w:tcW w:w="1311" w:type="dxa"/>
            <w:vAlign w:val="center"/>
          </w:tcPr>
          <w:p>
            <w:pPr>
              <w:spacing w:line="360" w:lineRule="auto"/>
              <w:rPr>
                <w:rFonts w:hint="eastAsia" w:ascii="宋体" w:hAnsi="宋体" w:eastAsia="宋体" w:cs="宋体"/>
                <w:b/>
                <w:sz w:val="21"/>
                <w:szCs w:val="21"/>
              </w:rPr>
            </w:pP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面谈人员：最管理者李峰、管代林媛</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公司成立于1988年，法人代表李峰，注册地址：陕西省咸阳市礼泉县食品工业园区科技路北侧。2010年05月25日，取得三证合一的营业执照，</w:t>
            </w:r>
            <w:r>
              <w:rPr>
                <w:rFonts w:hint="eastAsia" w:ascii="宋体" w:hAnsi="宋体" w:eastAsia="宋体" w:cs="宋体"/>
                <w:sz w:val="21"/>
                <w:szCs w:val="21"/>
                <w:lang w:val="de-DE" w:eastAsia="zh-CN"/>
              </w:rPr>
              <w:t>经营范围</w:t>
            </w:r>
            <w:bookmarkStart w:id="0" w:name="审核范围"/>
            <w:r>
              <w:rPr>
                <w:rFonts w:hint="eastAsia" w:ascii="宋体" w:hAnsi="宋体" w:eastAsia="宋体" w:cs="宋体"/>
                <w:sz w:val="21"/>
                <w:szCs w:val="21"/>
                <w:lang w:val="de-DE" w:eastAsia="zh-CN"/>
              </w:rPr>
              <w:t>：</w:t>
            </w:r>
            <w:bookmarkEnd w:id="0"/>
            <w:r>
              <w:rPr>
                <w:rFonts w:hint="eastAsia" w:ascii="宋体" w:hAnsi="宋体" w:eastAsia="宋体" w:cs="宋体"/>
                <w:sz w:val="21"/>
                <w:szCs w:val="21"/>
                <w:lang w:val="de-DE" w:eastAsia="zh-CN"/>
              </w:rPr>
              <w:t>汽车零部件及配件制造（五大总成除外），</w:t>
            </w:r>
            <w:r>
              <w:rPr>
                <w:rFonts w:hint="eastAsia" w:ascii="宋体" w:hAnsi="宋体" w:eastAsia="宋体" w:cs="宋体"/>
                <w:sz w:val="21"/>
                <w:szCs w:val="21"/>
                <w:lang w:val="en-US" w:eastAsia="zh-CN"/>
              </w:rPr>
              <w:t>建筑工程用机械制造、铸造。</w:t>
            </w:r>
          </w:p>
          <w:p>
            <w:pPr>
              <w:spacing w:line="360" w:lineRule="auto"/>
              <w:ind w:firstLine="500" w:firstLineChars="200"/>
              <w:rPr>
                <w:rFonts w:hint="eastAsia" w:ascii="宋体" w:hAnsi="宋体" w:eastAsia="宋体" w:cs="宋体"/>
                <w:sz w:val="21"/>
                <w:szCs w:val="21"/>
              </w:rPr>
            </w:pPr>
            <w:r>
              <w:rPr>
                <w:rFonts w:hint="eastAsia" w:ascii="宋体" w:hAnsi="宋体" w:eastAsia="宋体" w:cs="宋体"/>
                <w:spacing w:val="20"/>
                <w:sz w:val="21"/>
                <w:szCs w:val="21"/>
                <w:lang w:val="de-DE"/>
              </w:rPr>
              <w:t>经营范围包括了认证范围内产品。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领导作用和承诺、组织的岗位职责和权限</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 xml:space="preserve">E：5.1，5.3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介绍，</w:t>
            </w:r>
            <w:r>
              <w:rPr>
                <w:rFonts w:hint="eastAsia" w:ascii="宋体" w:hAnsi="宋体" w:eastAsia="宋体" w:cs="宋体"/>
                <w:sz w:val="21"/>
                <w:szCs w:val="21"/>
                <w:lang w:val="en-US" w:eastAsia="zh-CN"/>
              </w:rPr>
              <w:t>公司于2019.8.1发布实施了环境管理体系，</w:t>
            </w:r>
            <w:r>
              <w:rPr>
                <w:rFonts w:hint="eastAsia" w:ascii="宋体" w:hAnsi="宋体" w:eastAsia="宋体" w:cs="宋体"/>
                <w:sz w:val="21"/>
                <w:szCs w:val="21"/>
              </w:rPr>
              <w:t>公司管理体系运行已满</w:t>
            </w:r>
            <w:r>
              <w:rPr>
                <w:rFonts w:hint="eastAsia" w:ascii="宋体" w:hAnsi="宋体" w:eastAsia="宋体" w:cs="宋体"/>
                <w:sz w:val="21"/>
                <w:szCs w:val="21"/>
                <w:lang w:val="en-US" w:eastAsia="zh-CN"/>
              </w:rPr>
              <w:t>3</w:t>
            </w:r>
            <w:r>
              <w:rPr>
                <w:rFonts w:hint="eastAsia" w:ascii="宋体" w:hAnsi="宋体" w:eastAsia="宋体" w:cs="宋体"/>
                <w:sz w:val="21"/>
                <w:szCs w:val="21"/>
              </w:rPr>
              <w:t>个月。对部门及其职责进行了规定，设有</w:t>
            </w:r>
            <w:r>
              <w:rPr>
                <w:rFonts w:hint="eastAsia" w:ascii="宋体" w:hAnsi="宋体" w:eastAsia="宋体" w:cs="宋体"/>
                <w:sz w:val="21"/>
                <w:szCs w:val="21"/>
                <w:lang w:val="en-US" w:eastAsia="zh-CN"/>
              </w:rPr>
              <w:t>综合管理部、质量管理部</w:t>
            </w:r>
            <w:r>
              <w:rPr>
                <w:rFonts w:hint="eastAsia" w:ascii="宋体" w:hAnsi="宋体" w:eastAsia="宋体" w:cs="宋体"/>
                <w:sz w:val="21"/>
                <w:szCs w:val="21"/>
              </w:rPr>
              <w:t>、</w:t>
            </w:r>
            <w:r>
              <w:rPr>
                <w:rFonts w:hint="eastAsia" w:ascii="宋体" w:hAnsi="宋体" w:eastAsia="宋体" w:cs="宋体"/>
                <w:sz w:val="21"/>
                <w:szCs w:val="21"/>
                <w:lang w:val="en-US" w:eastAsia="zh-CN"/>
              </w:rPr>
              <w:t>技术部、</w:t>
            </w:r>
            <w:r>
              <w:rPr>
                <w:rFonts w:hint="eastAsia" w:ascii="宋体" w:hAnsi="宋体" w:eastAsia="宋体" w:cs="宋体"/>
                <w:sz w:val="21"/>
                <w:szCs w:val="21"/>
              </w:rPr>
              <w:t>生产部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采购部、销售部、财务部</w:t>
            </w:r>
            <w:r>
              <w:rPr>
                <w:rFonts w:hint="eastAsia" w:ascii="宋体" w:hAnsi="宋体" w:eastAsia="宋体" w:cs="宋体"/>
                <w:sz w:val="21"/>
                <w:szCs w:val="21"/>
              </w:rPr>
              <w:t>，编制了岗位职责汇编，以文件上发的形式沟通各部门的职责及各部门之间工作的联系。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，主要负责公司全面工作，</w:t>
            </w:r>
            <w:r>
              <w:rPr>
                <w:rFonts w:hint="eastAsia" w:ascii="宋体" w:hAnsi="宋体" w:eastAsia="宋体" w:cs="宋体"/>
                <w:color w:val="000000"/>
                <w:sz w:val="21"/>
                <w:szCs w:val="21"/>
              </w:rPr>
              <w:t>日常主要侧重于公司财务及市场工作，根据体系的要求，负责组织制定方针、目标，管理评审等工作；</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，主要</w:t>
            </w:r>
            <w:r>
              <w:rPr>
                <w:rFonts w:hint="eastAsia" w:ascii="宋体" w:hAnsi="宋体" w:eastAsia="宋体" w:cs="宋体"/>
                <w:sz w:val="21"/>
                <w:szCs w:val="21"/>
                <w:lang w:val="en-US" w:eastAsia="zh-CN"/>
              </w:rPr>
              <w:t>职责</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a）确保环境管理体系所需的过程得到建立、实施和保持；组织编制、修改环境管理体系手册；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b）向总经理报告环境管理体系的运行情况、业绩和任何改进的需要；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c）确保在整个公司内提高员工的环境意识；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d）配合总经理确保提供、配置、调度体系建立和运行所需的资源、技术和人员；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e）组织实施公司环境管理体系内部审核，任命内审组长；负责环境体系认证审核全过程的组织领导工作；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f）确保在策划和实施境环境管理体系变更时保持其完整性；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对内负责各部门之间体系运作的协调，对外负责环境管理体系有关事宜的联络。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总经理主持建立了环境管理体系，对管理体系的运行和保持进行了适当的授权，提供了必需的资源，能履行其管理承诺。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经交流总经理和管代熟悉管理体系的基本运行情况，比较重视体系建设。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组织从2019年</w:t>
            </w:r>
            <w:r>
              <w:rPr>
                <w:rFonts w:hint="eastAsia" w:ascii="宋体" w:hAnsi="宋体" w:eastAsia="宋体" w:cs="宋体"/>
                <w:sz w:val="21"/>
                <w:szCs w:val="21"/>
                <w:lang w:val="en-US" w:eastAsia="zh-CN"/>
              </w:rPr>
              <w:t>6</w:t>
            </w:r>
            <w:r>
              <w:rPr>
                <w:rFonts w:hint="eastAsia" w:ascii="宋体" w:hAnsi="宋体" w:eastAsia="宋体" w:cs="宋体"/>
                <w:sz w:val="21"/>
                <w:szCs w:val="21"/>
              </w:rPr>
              <w:t>月开始运行</w:t>
            </w:r>
            <w:r>
              <w:rPr>
                <w:rFonts w:hint="eastAsia" w:ascii="宋体" w:hAnsi="宋体" w:eastAsia="宋体" w:cs="宋体"/>
                <w:sz w:val="21"/>
                <w:szCs w:val="21"/>
                <w:lang w:val="en-US" w:eastAsia="zh-CN"/>
              </w:rPr>
              <w:t>环境管理</w:t>
            </w:r>
            <w:r>
              <w:rPr>
                <w:rFonts w:hint="eastAsia" w:ascii="宋体" w:hAnsi="宋体" w:eastAsia="宋体" w:cs="宋体"/>
                <w:sz w:val="21"/>
                <w:szCs w:val="21"/>
              </w:rPr>
              <w:t>体系，组织了内审员培训，识别了生产的过程及其相互关系，企业提供编号：</w:t>
            </w:r>
            <w:r>
              <w:rPr>
                <w:rFonts w:hint="eastAsia" w:ascii="宋体" w:hAnsi="宋体" w:eastAsia="宋体" w:cs="宋体"/>
                <w:sz w:val="21"/>
                <w:szCs w:val="21"/>
                <w:lang w:val="en-US" w:eastAsia="zh-CN"/>
              </w:rPr>
              <w:t>EMS/HJ-101-2019</w:t>
            </w:r>
            <w:r>
              <w:rPr>
                <w:rFonts w:hint="eastAsia" w:ascii="宋体" w:hAnsi="宋体" w:eastAsia="宋体" w:cs="宋体"/>
                <w:sz w:val="21"/>
                <w:szCs w:val="21"/>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管理手册》，依据IS014001:2015标准</w:t>
            </w:r>
            <w:r>
              <w:rPr>
                <w:rFonts w:hint="eastAsia" w:ascii="宋体" w:hAnsi="宋体" w:eastAsia="宋体" w:cs="宋体"/>
                <w:sz w:val="21"/>
                <w:szCs w:val="21"/>
                <w:lang w:eastAsia="zh-CN"/>
              </w:rPr>
              <w:t>，</w:t>
            </w:r>
            <w:r>
              <w:rPr>
                <w:rFonts w:hint="eastAsia" w:ascii="宋体" w:hAnsi="宋体" w:eastAsia="宋体" w:cs="宋体"/>
                <w:sz w:val="21"/>
                <w:szCs w:val="21"/>
              </w:rPr>
              <w:t>2019.</w:t>
            </w:r>
            <w:r>
              <w:rPr>
                <w:rFonts w:hint="eastAsia" w:ascii="宋体" w:hAnsi="宋体" w:eastAsia="宋体" w:cs="宋体"/>
                <w:sz w:val="21"/>
                <w:szCs w:val="21"/>
                <w:lang w:val="en-US" w:eastAsia="zh-CN"/>
              </w:rPr>
              <w:t>8.1</w:t>
            </w:r>
            <w:r>
              <w:rPr>
                <w:rFonts w:hint="eastAsia" w:ascii="宋体" w:hAnsi="宋体" w:eastAsia="宋体" w:cs="宋体"/>
                <w:sz w:val="21"/>
                <w:szCs w:val="21"/>
              </w:rPr>
              <w:t>发布，2019.</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实施；总经理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批准。任命管代：</w:t>
            </w:r>
            <w:r>
              <w:rPr>
                <w:rFonts w:hint="eastAsia" w:ascii="宋体" w:hAnsi="宋体" w:eastAsia="宋体" w:cs="宋体"/>
                <w:sz w:val="21"/>
                <w:szCs w:val="21"/>
                <w:lang w:val="en-US" w:eastAsia="zh-CN"/>
              </w:rPr>
              <w:t>林媛</w:t>
            </w:r>
            <w:r>
              <w:rPr>
                <w:rFonts w:hint="eastAsia" w:ascii="宋体" w:hAnsi="宋体" w:eastAsia="宋体" w:cs="宋体"/>
                <w:sz w:val="21"/>
                <w:szCs w:val="21"/>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E：4.1</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与总经理</w:t>
            </w:r>
            <w:r>
              <w:rPr>
                <w:rFonts w:hint="eastAsia" w:ascii="宋体" w:hAnsi="宋体" w:eastAsia="宋体" w:cs="宋体"/>
                <w:sz w:val="21"/>
                <w:szCs w:val="21"/>
                <w:lang w:val="en-US" w:eastAsia="zh-CN"/>
              </w:rPr>
              <w:t>李峰</w:t>
            </w:r>
            <w:r>
              <w:rPr>
                <w:rFonts w:hint="eastAsia" w:ascii="宋体" w:hAnsi="宋体" w:eastAsia="宋体" w:cs="宋体"/>
                <w:color w:val="000000"/>
                <w:sz w:val="21"/>
                <w:szCs w:val="21"/>
              </w:rPr>
              <w:t>沟通，介绍公司始建于1988年，总投资8000万元，占地面积80亩，建筑面积约30000平方米，经过近30年的资源、管理和技术积累，两代人的不懈努力，特别是近几年的技术改造和基础设施扩建，公司已初具规模；公司</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发展历程、形成公司文化的、</w:t>
            </w:r>
            <w:r>
              <w:rPr>
                <w:rFonts w:hint="eastAsia" w:ascii="宋体" w:hAnsi="宋体" w:eastAsia="宋体" w:cs="宋体"/>
                <w:color w:val="000000"/>
                <w:sz w:val="21"/>
                <w:szCs w:val="21"/>
                <w:lang w:val="en-US" w:eastAsia="zh-CN"/>
              </w:rPr>
              <w:t>手册描述了企业</w:t>
            </w:r>
            <w:r>
              <w:rPr>
                <w:rFonts w:hint="eastAsia" w:ascii="宋体" w:hAnsi="宋体" w:eastAsia="宋体" w:cs="宋体"/>
                <w:color w:val="000000"/>
                <w:sz w:val="21"/>
                <w:szCs w:val="21"/>
              </w:rPr>
              <w:t>长短期发展目标、价值观的沟通，并对如何创造公司良好的内部环境提出要求，对公司目前所处的外部环境也做了简单分析。公司介绍，销售的产品</w:t>
            </w:r>
            <w:r>
              <w:rPr>
                <w:rFonts w:hint="eastAsia" w:ascii="宋体" w:hAnsi="宋体" w:eastAsia="宋体" w:cs="宋体"/>
                <w:color w:val="000000"/>
                <w:sz w:val="21"/>
                <w:szCs w:val="21"/>
                <w:lang w:val="en-US" w:eastAsia="zh-CN"/>
              </w:rPr>
              <w:t>主要服务于陕西法士特公司，具有一定的供货量，</w:t>
            </w:r>
            <w:r>
              <w:rPr>
                <w:rFonts w:hint="eastAsia" w:ascii="宋体" w:hAnsi="宋体" w:eastAsia="宋体" w:cs="宋体"/>
                <w:color w:val="000000"/>
                <w:sz w:val="21"/>
                <w:szCs w:val="21"/>
              </w:rPr>
              <w:t>占据一定市场地位。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对</w:t>
            </w:r>
            <w:r>
              <w:rPr>
                <w:rFonts w:hint="eastAsia" w:ascii="宋体" w:hAnsi="宋体" w:eastAsia="宋体" w:cs="宋体"/>
                <w:color w:val="000000"/>
                <w:sz w:val="21"/>
                <w:szCs w:val="21"/>
              </w:rPr>
              <w:t>内外部环境因素</w:t>
            </w:r>
            <w:r>
              <w:rPr>
                <w:rFonts w:hint="eastAsia" w:ascii="宋体" w:hAnsi="宋体" w:eastAsia="宋体" w:cs="宋体"/>
                <w:color w:val="000000"/>
                <w:sz w:val="21"/>
                <w:szCs w:val="21"/>
                <w:lang w:val="en-US" w:eastAsia="zh-CN"/>
              </w:rPr>
              <w:t>进行了</w:t>
            </w:r>
            <w:r>
              <w:rPr>
                <w:rFonts w:hint="eastAsia" w:ascii="宋体" w:hAnsi="宋体" w:eastAsia="宋体" w:cs="宋体"/>
                <w:color w:val="000000"/>
                <w:sz w:val="21"/>
                <w:szCs w:val="21"/>
              </w:rPr>
              <w:t>识别和评审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并提供</w:t>
            </w:r>
            <w:r>
              <w:rPr>
                <w:rFonts w:hint="eastAsia" w:ascii="宋体" w:hAnsi="宋体" w:eastAsia="宋体" w:cs="宋体"/>
                <w:color w:val="000000"/>
                <w:sz w:val="21"/>
                <w:szCs w:val="21"/>
              </w:rPr>
              <w:t>《环境分析评审确定表》，识别了相关内容，确定了监视、评审方法、责任部门、监视频率等。如内部因素：从</w:t>
            </w:r>
            <w:r>
              <w:rPr>
                <w:rFonts w:hint="eastAsia" w:ascii="宋体" w:hAnsi="宋体" w:eastAsia="宋体" w:cs="宋体"/>
                <w:color w:val="000000"/>
                <w:sz w:val="21"/>
                <w:szCs w:val="21"/>
                <w:lang w:val="en-US" w:eastAsia="zh-CN"/>
              </w:rPr>
              <w:t>顾客、供方、员工</w:t>
            </w:r>
            <w:r>
              <w:rPr>
                <w:rFonts w:hint="eastAsia" w:ascii="宋体" w:hAnsi="宋体" w:eastAsia="宋体" w:cs="宋体"/>
                <w:color w:val="000000"/>
                <w:sz w:val="21"/>
                <w:szCs w:val="21"/>
              </w:rPr>
              <w:t>、财务、过程环境、市场营销能力等，外部因素从</w:t>
            </w:r>
            <w:r>
              <w:rPr>
                <w:rFonts w:hint="eastAsia" w:ascii="宋体" w:hAnsi="宋体" w:eastAsia="宋体" w:cs="宋体"/>
                <w:color w:val="000000"/>
                <w:sz w:val="21"/>
                <w:szCs w:val="21"/>
                <w:lang w:val="en-US" w:eastAsia="zh-CN"/>
              </w:rPr>
              <w:t>市场</w:t>
            </w:r>
            <w:r>
              <w:rPr>
                <w:rFonts w:hint="eastAsia" w:ascii="宋体" w:hAnsi="宋体" w:eastAsia="宋体" w:cs="宋体"/>
                <w:color w:val="000000"/>
                <w:sz w:val="21"/>
                <w:szCs w:val="21"/>
              </w:rPr>
              <w:t>因素、</w:t>
            </w:r>
            <w:r>
              <w:rPr>
                <w:rFonts w:hint="eastAsia" w:ascii="宋体" w:hAnsi="宋体" w:eastAsia="宋体" w:cs="宋体"/>
                <w:color w:val="000000"/>
                <w:sz w:val="21"/>
                <w:szCs w:val="21"/>
                <w:lang w:val="en-US" w:eastAsia="zh-CN"/>
              </w:rPr>
              <w:t>环境保护政策、自然地理位置</w:t>
            </w:r>
            <w:r>
              <w:rPr>
                <w:rFonts w:hint="eastAsia" w:ascii="宋体" w:hAnsi="宋体" w:eastAsia="宋体" w:cs="宋体"/>
                <w:color w:val="000000"/>
                <w:sz w:val="21"/>
                <w:szCs w:val="21"/>
              </w:rPr>
              <w:t>、竞争</w:t>
            </w:r>
            <w:r>
              <w:rPr>
                <w:rFonts w:hint="eastAsia" w:ascii="宋体" w:hAnsi="宋体" w:eastAsia="宋体" w:cs="宋体"/>
                <w:color w:val="000000"/>
                <w:sz w:val="21"/>
                <w:szCs w:val="21"/>
                <w:lang w:val="en-US" w:eastAsia="zh-CN"/>
              </w:rPr>
              <w:t>对手</w:t>
            </w:r>
            <w:r>
              <w:rPr>
                <w:rFonts w:hint="eastAsia" w:ascii="宋体" w:hAnsi="宋体" w:eastAsia="宋体" w:cs="宋体"/>
                <w:color w:val="000000"/>
                <w:sz w:val="21"/>
                <w:szCs w:val="21"/>
              </w:rPr>
              <w:t>、市场</w:t>
            </w:r>
            <w:r>
              <w:rPr>
                <w:rFonts w:hint="eastAsia" w:ascii="宋体" w:hAnsi="宋体" w:eastAsia="宋体" w:cs="宋体"/>
                <w:color w:val="000000"/>
                <w:sz w:val="21"/>
                <w:szCs w:val="21"/>
                <w:lang w:val="en-US" w:eastAsia="zh-CN"/>
              </w:rPr>
              <w:t>因素</w:t>
            </w:r>
            <w:r>
              <w:rPr>
                <w:rFonts w:hint="eastAsia" w:ascii="宋体" w:hAnsi="宋体" w:eastAsia="宋体" w:cs="宋体"/>
                <w:color w:val="000000"/>
                <w:sz w:val="21"/>
                <w:szCs w:val="21"/>
              </w:rPr>
              <w:t>等方面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评审结果：1、履行合规义务承诺2、积极推进环保产品的设计开发、不断提升先进的绿色生产工艺3、废弃物分类收集处置4、不断增强员工环境意识提升5、实施环境管理体系并的有效运行</w:t>
            </w:r>
            <w:r>
              <w:rPr>
                <w:rFonts w:hint="eastAsia" w:ascii="宋体" w:hAnsi="宋体" w:eastAsia="宋体" w:cs="宋体"/>
                <w:color w:val="000000"/>
                <w:sz w:val="21"/>
                <w:szCs w:val="21"/>
              </w:rPr>
              <w:t>监视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监视方法：网上收集、沟通会、政府部门获取。</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理解相关方的需求和期望</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E：4.2</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发布并实施了《相关方管理控制程序》，提供《相关方需求和期望确认表》，</w:t>
            </w:r>
            <w:r>
              <w:rPr>
                <w:rFonts w:hint="eastAsia" w:ascii="宋体" w:hAnsi="宋体" w:eastAsia="宋体" w:cs="宋体"/>
                <w:color w:val="000000"/>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环境管理体系的范围</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E：4.3 </w:t>
            </w:r>
          </w:p>
        </w:tc>
        <w:tc>
          <w:tcPr>
            <w:tcW w:w="10004"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经确认企业的管理体系范围是：</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EMS: </w:t>
            </w:r>
            <w:r>
              <w:rPr>
                <w:sz w:val="20"/>
              </w:rPr>
              <w:t>汽车零部件及配件制造（五大总成除外）</w:t>
            </w:r>
            <w:r>
              <w:rPr>
                <w:rFonts w:hint="eastAsia" w:ascii="宋体" w:hAnsi="宋体" w:eastAsia="宋体" w:cs="宋体"/>
                <w:sz w:val="21"/>
                <w:szCs w:val="21"/>
              </w:rPr>
              <w:t>及相关环境管理活动</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环境管理体系及其过程</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E：4.4  </w:t>
            </w:r>
          </w:p>
        </w:tc>
        <w:tc>
          <w:tcPr>
            <w:tcW w:w="10004" w:type="dxa"/>
            <w:vAlign w:val="center"/>
          </w:tcPr>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公司按照 GB/T24001-2016 标准的要求识别了环境管理所需的过程及相互作用，识别了环境管理体系涉及的各个过程</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公司按照标准建立了文件化的环境管理体系，编制了环境</w:t>
            </w:r>
            <w:r>
              <w:rPr>
                <w:rFonts w:hint="eastAsia" w:ascii="宋体" w:hAnsi="宋体" w:eastAsia="宋体" w:cs="宋体"/>
                <w:sz w:val="21"/>
                <w:szCs w:val="21"/>
                <w:lang w:val="en-US" w:eastAsia="zh-CN"/>
              </w:rPr>
              <w:t>管理</w:t>
            </w:r>
            <w:r>
              <w:rPr>
                <w:rFonts w:hint="eastAsia" w:ascii="宋体" w:hAnsi="宋体" w:eastAsia="宋体" w:cs="宋体"/>
                <w:sz w:val="21"/>
                <w:szCs w:val="21"/>
              </w:rPr>
              <w:t>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E：5.2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企业已经制定环境方针，具体包含在《管理手册》，公司的环境方针是：</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遵规守法  预防污染  节能降耗  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查领导层参与制定管理体系方针的情况，是否熟悉组织的管理体系方针内容、含义：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eastAsia="宋体" w:cs="宋体"/>
                <w:color w:val="000000"/>
                <w:sz w:val="21"/>
                <w:szCs w:val="21"/>
              </w:rPr>
              <w:t>据总经理介绍，一共为体系的建立实施和改进投入了各种资源、资</w:t>
            </w:r>
            <w:r>
              <w:rPr>
                <w:rFonts w:hint="eastAsia" w:ascii="宋体" w:hAnsi="宋体" w:eastAsia="宋体" w:cs="宋体"/>
                <w:sz w:val="21"/>
                <w:szCs w:val="21"/>
              </w:rPr>
              <w:t>金等约</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万余元</w:t>
            </w:r>
            <w:r>
              <w:rPr>
                <w:rFonts w:hint="eastAsia" w:ascii="宋体" w:hAnsi="宋体" w:eastAsia="宋体" w:cs="宋体"/>
                <w:color w:val="000000"/>
                <w:sz w:val="21"/>
                <w:szCs w:val="21"/>
              </w:rPr>
              <w:t>,现场询问管代、陪同人员，均了解其职责。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6.1.1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编制有《风险和机遇的应对控制程序》，对组织内外的风险和机遇进行了策划。提供《风险和机遇及应对措施确定表》，</w:t>
            </w:r>
            <w:r>
              <w:rPr>
                <w:rFonts w:hint="eastAsia" w:ascii="宋体" w:hAnsi="宋体" w:eastAsia="宋体" w:cs="宋体"/>
                <w:sz w:val="21"/>
                <w:szCs w:val="21"/>
                <w:lang w:val="en-US" w:eastAsia="zh-CN"/>
              </w:rPr>
              <w:t>确认</w:t>
            </w:r>
            <w:r>
              <w:rPr>
                <w:rFonts w:hint="eastAsia" w:ascii="宋体" w:hAnsi="宋体" w:eastAsia="宋体" w:cs="宋体"/>
                <w:sz w:val="21"/>
                <w:szCs w:val="21"/>
              </w:rPr>
              <w:t>了</w:t>
            </w:r>
            <w:r>
              <w:rPr>
                <w:rFonts w:hint="eastAsia" w:ascii="宋体" w:hAnsi="宋体" w:eastAsia="宋体" w:cs="宋体"/>
                <w:sz w:val="21"/>
                <w:szCs w:val="21"/>
                <w:lang w:val="en-US" w:eastAsia="zh-CN"/>
              </w:rPr>
              <w:t>风险类别、</w:t>
            </w:r>
            <w:r>
              <w:rPr>
                <w:rFonts w:hint="eastAsia" w:ascii="宋体" w:hAnsi="宋体" w:eastAsia="宋体" w:cs="宋体"/>
                <w:sz w:val="21"/>
                <w:szCs w:val="21"/>
              </w:rPr>
              <w:t>风险和机遇</w:t>
            </w:r>
            <w:r>
              <w:rPr>
                <w:rFonts w:hint="eastAsia" w:ascii="宋体" w:hAnsi="宋体" w:eastAsia="宋体" w:cs="宋体"/>
                <w:sz w:val="21"/>
                <w:szCs w:val="21"/>
                <w:lang w:val="en-US" w:eastAsia="zh-CN"/>
              </w:rPr>
              <w:t>因素</w:t>
            </w:r>
            <w:r>
              <w:rPr>
                <w:rFonts w:hint="eastAsia" w:ascii="宋体" w:hAnsi="宋体" w:eastAsia="宋体" w:cs="宋体"/>
                <w:sz w:val="21"/>
                <w:szCs w:val="21"/>
              </w:rPr>
              <w:t>、</w:t>
            </w:r>
            <w:r>
              <w:rPr>
                <w:rFonts w:hint="eastAsia" w:ascii="宋体" w:hAnsi="宋体" w:eastAsia="宋体" w:cs="宋体"/>
                <w:sz w:val="21"/>
                <w:szCs w:val="21"/>
                <w:lang w:val="en-US" w:eastAsia="zh-CN"/>
              </w:rPr>
              <w:t>造成后果</w:t>
            </w:r>
            <w:r>
              <w:rPr>
                <w:rFonts w:hint="eastAsia" w:ascii="宋体" w:hAnsi="宋体" w:eastAsia="宋体" w:cs="宋体"/>
                <w:sz w:val="21"/>
                <w:szCs w:val="21"/>
              </w:rPr>
              <w:t>、</w:t>
            </w:r>
            <w:r>
              <w:rPr>
                <w:rFonts w:hint="eastAsia" w:ascii="宋体" w:hAnsi="宋体" w:eastAsia="宋体" w:cs="宋体"/>
                <w:sz w:val="21"/>
                <w:szCs w:val="21"/>
                <w:lang w:val="en-US" w:eastAsia="zh-CN"/>
              </w:rPr>
              <w:t>风险分析与评价、应对措施，制定</w:t>
            </w:r>
            <w:r>
              <w:rPr>
                <w:rFonts w:hint="eastAsia" w:ascii="宋体" w:hAnsi="宋体" w:eastAsia="宋体" w:cs="宋体"/>
                <w:sz w:val="21"/>
                <w:szCs w:val="21"/>
              </w:rPr>
              <w:t>管理措施、责任部门、实时时间、评价措施等：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风险、机遇：从</w:t>
            </w:r>
            <w:r>
              <w:rPr>
                <w:rFonts w:hint="eastAsia" w:ascii="宋体" w:hAnsi="宋体" w:eastAsia="宋体" w:cs="宋体"/>
                <w:sz w:val="21"/>
                <w:szCs w:val="21"/>
                <w:lang w:val="en-US" w:eastAsia="zh-CN"/>
              </w:rPr>
              <w:t>合规义务、潜在紧急情况、机遇等，从</w:t>
            </w:r>
            <w:r>
              <w:rPr>
                <w:rFonts w:hint="eastAsia" w:ascii="宋体" w:hAnsi="宋体" w:eastAsia="宋体" w:cs="宋体"/>
                <w:sz w:val="21"/>
                <w:szCs w:val="21"/>
              </w:rPr>
              <w:t>客户开发、合同评审、产品交付、领导作用、信息交流、采购管理、仓库管理等方面进行分析评估。从严重程度、发生概率、可探测性、RPN等确定风险和机遇。应对措施：与风险、机遇相适应。</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E：6.2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环境目标：1、环境污染事故为0</w:t>
            </w:r>
            <w:r>
              <w:rPr>
                <w:rFonts w:hint="eastAsia" w:ascii="宋体" w:hAnsi="宋体" w:eastAsia="宋体" w:cs="宋体"/>
                <w:sz w:val="21"/>
                <w:szCs w:val="21"/>
                <w:lang w:eastAsia="zh-CN"/>
              </w:rPr>
              <w:t>；</w:t>
            </w:r>
            <w:r>
              <w:rPr>
                <w:rFonts w:hint="eastAsia" w:ascii="宋体" w:hAnsi="宋体" w:eastAsia="宋体" w:cs="宋体"/>
                <w:sz w:val="21"/>
                <w:szCs w:val="21"/>
              </w:rPr>
              <w:t xml:space="preserve"> 2、固体废物分类处置合格率</w:t>
            </w:r>
            <w:r>
              <w:rPr>
                <w:rFonts w:hint="eastAsia" w:ascii="宋体" w:hAnsi="宋体" w:eastAsia="宋体" w:cs="宋体"/>
                <w:sz w:val="21"/>
                <w:szCs w:val="21"/>
                <w:lang w:val="en-US" w:eastAsia="zh-CN"/>
              </w:rPr>
              <w:t>100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 xml:space="preserve"> 3、万元产值降低电消耗1%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4、火灾事故为0；5、环境影响投诉为0。</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组织对公司环境目标、指标予以分解，并在相关职能层次部门建立分目标，</w:t>
            </w:r>
            <w:r>
              <w:rPr>
                <w:rFonts w:hint="eastAsia" w:ascii="宋体" w:hAnsi="宋体" w:eastAsia="宋体" w:cs="宋体"/>
                <w:sz w:val="21"/>
                <w:szCs w:val="21"/>
                <w:lang w:val="en-US" w:eastAsia="zh-CN"/>
              </w:rPr>
              <w:t>提供</w:t>
            </w:r>
          </w:p>
          <w:p>
            <w:pPr>
              <w:spacing w:line="360" w:lineRule="auto"/>
              <w:ind w:firstLine="2108" w:firstLineChars="1000"/>
              <w:rPr>
                <w:rFonts w:hint="eastAsia" w:ascii="宋体" w:hAnsi="宋体" w:eastAsia="宋体" w:cs="宋体"/>
                <w:b/>
                <w:bCs/>
                <w:color w:val="000000"/>
                <w:sz w:val="21"/>
                <w:szCs w:val="21"/>
              </w:rPr>
            </w:pPr>
            <w:r>
              <w:rPr>
                <w:rFonts w:hint="eastAsia" w:ascii="宋体" w:hAnsi="宋体" w:eastAsia="宋体" w:cs="宋体"/>
                <w:b/>
                <w:bCs/>
                <w:sz w:val="21"/>
                <w:szCs w:val="21"/>
              </w:rPr>
              <w:t>《公司及各部门环境目标分解一览表》</w:t>
            </w:r>
          </w:p>
          <w:tbl>
            <w:tblPr>
              <w:tblStyle w:val="5"/>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5"/>
              <w:gridCol w:w="340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部 门</w:t>
                  </w:r>
                </w:p>
              </w:tc>
              <w:tc>
                <w:tcPr>
                  <w:tcW w:w="4225" w:type="dxa"/>
                  <w:gridSpan w:val="2"/>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环境</w:t>
                  </w:r>
                  <w:r>
                    <w:rPr>
                      <w:rFonts w:hint="eastAsia" w:ascii="宋体" w:hAnsi="宋体" w:eastAsia="宋体" w:cs="宋体"/>
                      <w:sz w:val="21"/>
                      <w:szCs w:val="21"/>
                    </w:rPr>
                    <w:t>目标内容</w:t>
                  </w:r>
                </w:p>
              </w:tc>
              <w:tc>
                <w:tcPr>
                  <w:tcW w:w="4420" w:type="dxa"/>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考核依据及考核办法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公司</w:t>
                  </w:r>
                </w:p>
              </w:tc>
              <w:tc>
                <w:tcPr>
                  <w:tcW w:w="825" w:type="dxa"/>
                  <w:vMerge w:val="restart"/>
                  <w:noWrap w:val="0"/>
                  <w:vAlign w:val="center"/>
                </w:tcPr>
                <w:p>
                  <w:pPr>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环境目标</w:t>
                  </w:r>
                </w:p>
              </w:tc>
              <w:tc>
                <w:tcPr>
                  <w:tcW w:w="340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环境污染事故为零</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825" w:type="dxa"/>
                  <w:vMerge w:val="continue"/>
                  <w:noWrap w:val="0"/>
                  <w:vAlign w:val="center"/>
                </w:tcPr>
                <w:p>
                  <w:pPr>
                    <w:spacing w:line="240" w:lineRule="auto"/>
                    <w:jc w:val="center"/>
                    <w:rPr>
                      <w:rFonts w:hint="eastAsia" w:ascii="宋体" w:hAnsi="宋体" w:eastAsia="宋体" w:cs="宋体"/>
                      <w:bCs/>
                      <w:color w:val="000000"/>
                      <w:sz w:val="21"/>
                      <w:szCs w:val="21"/>
                    </w:rPr>
                  </w:pPr>
                </w:p>
              </w:tc>
              <w:tc>
                <w:tcPr>
                  <w:tcW w:w="340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sz w:val="21"/>
                      <w:szCs w:val="21"/>
                    </w:rPr>
                    <w:t>2、固体废物分类处置合格率≥95%</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825" w:type="dxa"/>
                  <w:vMerge w:val="continue"/>
                  <w:noWrap w:val="0"/>
                  <w:vAlign w:val="center"/>
                </w:tcPr>
                <w:p>
                  <w:pPr>
                    <w:tabs>
                      <w:tab w:val="left" w:pos="10080"/>
                    </w:tabs>
                    <w:spacing w:line="240" w:lineRule="auto"/>
                    <w:jc w:val="center"/>
                    <w:rPr>
                      <w:rFonts w:hint="eastAsia" w:ascii="宋体" w:hAnsi="宋体" w:eastAsia="宋体" w:cs="宋体"/>
                      <w:bCs/>
                      <w:color w:val="000000"/>
                      <w:sz w:val="21"/>
                      <w:szCs w:val="21"/>
                    </w:rPr>
                  </w:pPr>
                </w:p>
              </w:tc>
              <w:tc>
                <w:tcPr>
                  <w:tcW w:w="340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bCs/>
                      <w:sz w:val="21"/>
                      <w:szCs w:val="21"/>
                    </w:rPr>
                    <w:t>3、万元产值</w:t>
                  </w:r>
                  <w:r>
                    <w:rPr>
                      <w:rFonts w:hint="eastAsia" w:ascii="宋体" w:hAnsi="宋体" w:eastAsia="宋体" w:cs="宋体"/>
                      <w:sz w:val="21"/>
                      <w:szCs w:val="21"/>
                    </w:rPr>
                    <w:t>电消耗1%</w:t>
                  </w:r>
                  <w:r>
                    <w:rPr>
                      <w:rFonts w:hint="eastAsia" w:ascii="宋体" w:hAnsi="宋体" w:eastAsia="宋体" w:cs="宋体"/>
                      <w:bCs/>
                      <w:sz w:val="21"/>
                      <w:szCs w:val="21"/>
                    </w:rPr>
                    <w:t>。</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sz w:val="21"/>
                      <w:szCs w:val="21"/>
                    </w:rPr>
                    <w:t>(统计期水电消耗-上年度水电消耗)/上年度水电消耗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825" w:type="dxa"/>
                  <w:vMerge w:val="continue"/>
                  <w:noWrap w:val="0"/>
                  <w:vAlign w:val="center"/>
                </w:tcPr>
                <w:p>
                  <w:pPr>
                    <w:tabs>
                      <w:tab w:val="left" w:pos="10080"/>
                    </w:tabs>
                    <w:spacing w:line="240" w:lineRule="auto"/>
                    <w:jc w:val="center"/>
                    <w:rPr>
                      <w:rFonts w:hint="eastAsia" w:ascii="宋体" w:hAnsi="宋体" w:eastAsia="宋体" w:cs="宋体"/>
                      <w:bCs/>
                      <w:color w:val="000000"/>
                      <w:sz w:val="21"/>
                      <w:szCs w:val="21"/>
                    </w:rPr>
                  </w:pPr>
                </w:p>
              </w:tc>
              <w:tc>
                <w:tcPr>
                  <w:tcW w:w="340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bCs/>
                      <w:sz w:val="21"/>
                      <w:szCs w:val="21"/>
                    </w:rPr>
                    <w:t>4、火灾事故为零</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825" w:type="dxa"/>
                  <w:vMerge w:val="continue"/>
                  <w:noWrap w:val="0"/>
                  <w:vAlign w:val="center"/>
                </w:tcPr>
                <w:p>
                  <w:pPr>
                    <w:tabs>
                      <w:tab w:val="left" w:pos="10080"/>
                    </w:tabs>
                    <w:spacing w:line="240" w:lineRule="auto"/>
                    <w:jc w:val="center"/>
                    <w:rPr>
                      <w:rFonts w:hint="eastAsia" w:ascii="宋体" w:hAnsi="宋体" w:eastAsia="宋体" w:cs="宋体"/>
                      <w:bCs/>
                      <w:color w:val="000000"/>
                      <w:sz w:val="21"/>
                      <w:szCs w:val="21"/>
                    </w:rPr>
                  </w:pPr>
                </w:p>
              </w:tc>
              <w:tc>
                <w:tcPr>
                  <w:tcW w:w="3400" w:type="dxa"/>
                  <w:noWrap w:val="0"/>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5、环境影响投诉次数为零</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综合管理部</w:t>
                  </w:r>
                </w:p>
              </w:tc>
              <w:tc>
                <w:tcPr>
                  <w:tcW w:w="4225" w:type="dxa"/>
                  <w:gridSpan w:val="2"/>
                  <w:tcBorders>
                    <w:bottom w:val="single" w:color="auto" w:sz="4" w:space="0"/>
                  </w:tcBorders>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1、年度培训计划执行率100</w:t>
                  </w:r>
                  <w:r>
                    <w:rPr>
                      <w:rFonts w:hint="eastAsia" w:ascii="宋体" w:hAnsi="宋体" w:eastAsia="宋体" w:cs="宋体"/>
                      <w:color w:val="000000"/>
                      <w:sz w:val="21"/>
                      <w:szCs w:val="21"/>
                    </w:rPr>
                    <w:t>％</w:t>
                  </w:r>
                </w:p>
              </w:tc>
              <w:tc>
                <w:tcPr>
                  <w:tcW w:w="4420" w:type="dxa"/>
                  <w:tcBorders>
                    <w:bottom w:val="single" w:color="auto"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统计期完成培训次数/计划培训次数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tcBorders>
                    <w:bottom w:val="single" w:color="auto" w:sz="4" w:space="0"/>
                  </w:tcBorders>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color w:val="000000"/>
                      <w:sz w:val="21"/>
                      <w:szCs w:val="21"/>
                    </w:rPr>
                    <w:t>办公垃圾分类排放，检查合格率100%；</w:t>
                  </w:r>
                </w:p>
              </w:tc>
              <w:tc>
                <w:tcPr>
                  <w:tcW w:w="4420" w:type="dxa"/>
                  <w:tcBorders>
                    <w:bottom w:val="single" w:color="auto"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tcBorders>
                    <w:bottom w:val="single" w:color="auto" w:sz="4" w:space="0"/>
                  </w:tcBorders>
                  <w:noWrap w:val="0"/>
                  <w:vAlign w:val="top"/>
                </w:tcPr>
                <w:p>
                  <w:pPr>
                    <w:spacing w:line="240" w:lineRule="auto"/>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火灾事故为0</w:t>
                  </w:r>
                </w:p>
              </w:tc>
              <w:tc>
                <w:tcPr>
                  <w:tcW w:w="4420" w:type="dxa"/>
                  <w:tcBorders>
                    <w:bottom w:val="single" w:color="auto"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生产部(含车间)</w:t>
                  </w:r>
                </w:p>
              </w:tc>
              <w:tc>
                <w:tcPr>
                  <w:tcW w:w="4225" w:type="dxa"/>
                  <w:gridSpan w:val="2"/>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1、危险废物100%交有资质的单位最终处置</w:t>
                  </w:r>
                </w:p>
              </w:tc>
              <w:tc>
                <w:tcPr>
                  <w:tcW w:w="44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center"/>
                </w:tcPr>
                <w:p>
                  <w:pPr>
                    <w:spacing w:line="240" w:lineRule="auto"/>
                    <w:rPr>
                      <w:rFonts w:hint="eastAsia" w:ascii="宋体" w:hAnsi="宋体" w:eastAsia="宋体" w:cs="宋体"/>
                      <w:sz w:val="21"/>
                      <w:szCs w:val="21"/>
                    </w:rPr>
                  </w:pPr>
                  <w:r>
                    <w:rPr>
                      <w:rFonts w:hint="eastAsia" w:ascii="宋体" w:hAnsi="宋体" w:eastAsia="宋体" w:cs="宋体"/>
                      <w:bCs/>
                      <w:sz w:val="21"/>
                      <w:szCs w:val="21"/>
                    </w:rPr>
                    <w:t>2、万元产值</w:t>
                  </w:r>
                  <w:r>
                    <w:rPr>
                      <w:rFonts w:hint="eastAsia" w:ascii="宋体" w:hAnsi="宋体" w:eastAsia="宋体" w:cs="宋体"/>
                      <w:sz w:val="21"/>
                      <w:szCs w:val="21"/>
                    </w:rPr>
                    <w:t>降低电消耗1%</w:t>
                  </w:r>
                  <w:r>
                    <w:rPr>
                      <w:rFonts w:hint="eastAsia" w:ascii="宋体" w:hAnsi="宋体" w:eastAsia="宋体" w:cs="宋体"/>
                      <w:bCs/>
                      <w:sz w:val="21"/>
                      <w:szCs w:val="21"/>
                    </w:rPr>
                    <w:t>。</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sz w:val="21"/>
                      <w:szCs w:val="21"/>
                    </w:rPr>
                    <w:t>(统计期水电消耗-上年度水电消耗)/上年度水电消耗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3、噪声达标排放</w:t>
                  </w:r>
                </w:p>
              </w:tc>
              <w:tc>
                <w:tcPr>
                  <w:tcW w:w="4420" w:type="dxa"/>
                  <w:noWrap w:val="0"/>
                  <w:vAlign w:val="center"/>
                </w:tcPr>
                <w:p>
                  <w:pPr>
                    <w:tabs>
                      <w:tab w:val="left" w:pos="10080"/>
                    </w:tabs>
                    <w:spacing w:line="240" w:lineRule="auto"/>
                    <w:rPr>
                      <w:rFonts w:hint="eastAsia" w:ascii="宋体" w:hAnsi="宋体" w:eastAsia="宋体" w:cs="宋体"/>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4、</w:t>
                  </w:r>
                  <w:r>
                    <w:rPr>
                      <w:rFonts w:hint="eastAsia" w:ascii="宋体" w:hAnsi="宋体" w:eastAsia="宋体" w:cs="宋体"/>
                      <w:color w:val="000000"/>
                      <w:sz w:val="21"/>
                      <w:szCs w:val="21"/>
                    </w:rPr>
                    <w:t>火灾事故为0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5、环保设备完好率大于95%</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完好环保设备数量/环保设备总数量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6、</w:t>
                  </w:r>
                  <w:r>
                    <w:rPr>
                      <w:rFonts w:hint="eastAsia" w:ascii="宋体" w:hAnsi="宋体" w:eastAsia="宋体" w:cs="宋体"/>
                      <w:bCs/>
                      <w:sz w:val="21"/>
                      <w:szCs w:val="21"/>
                    </w:rPr>
                    <w:t>环境污染事故为</w:t>
                  </w:r>
                  <w:r>
                    <w:rPr>
                      <w:rFonts w:hint="eastAsia" w:ascii="宋体" w:hAnsi="宋体" w:eastAsia="宋体" w:cs="宋体"/>
                      <w:bCs/>
                      <w:sz w:val="21"/>
                      <w:szCs w:val="21"/>
                      <w:lang w:val="en-US" w:eastAsia="zh-CN"/>
                    </w:rPr>
                    <w:t>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技</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术</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部</w:t>
                  </w:r>
                </w:p>
              </w:tc>
              <w:tc>
                <w:tcPr>
                  <w:tcW w:w="4225" w:type="dxa"/>
                  <w:gridSpan w:val="2"/>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color w:val="000000"/>
                      <w:sz w:val="21"/>
                      <w:szCs w:val="21"/>
                    </w:rPr>
                    <w:t>办公垃圾分类排放，检查合格率100%；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火灾事故为0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销</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售</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部</w:t>
                  </w:r>
                </w:p>
              </w:tc>
              <w:tc>
                <w:tcPr>
                  <w:tcW w:w="4225" w:type="dxa"/>
                  <w:gridSpan w:val="2"/>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color w:val="000000"/>
                      <w:sz w:val="21"/>
                      <w:szCs w:val="21"/>
                    </w:rPr>
                    <w:t>办公垃圾分类排放，检查合格率100%；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火灾事故为0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采</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购</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部</w:t>
                  </w:r>
                </w:p>
              </w:tc>
              <w:tc>
                <w:tcPr>
                  <w:tcW w:w="4225" w:type="dxa"/>
                  <w:gridSpan w:val="2"/>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color w:val="000000"/>
                      <w:sz w:val="21"/>
                      <w:szCs w:val="21"/>
                    </w:rPr>
                    <w:t>办公垃圾分类排放，检查合格率100%；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 xml:space="preserve">火灾事故为0 </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3、相关方施加影响率100%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施加影响数/需要施加影响数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质</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管</w:t>
                  </w:r>
                </w:p>
                <w:p>
                  <w:pPr>
                    <w:tabs>
                      <w:tab w:val="left" w:pos="10080"/>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部</w:t>
                  </w:r>
                </w:p>
              </w:tc>
              <w:tc>
                <w:tcPr>
                  <w:tcW w:w="4225" w:type="dxa"/>
                  <w:gridSpan w:val="2"/>
                  <w:noWrap w:val="0"/>
                  <w:vAlign w:val="top"/>
                </w:tcPr>
                <w:p>
                  <w:pPr>
                    <w:spacing w:line="240" w:lineRule="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color w:val="000000"/>
                      <w:sz w:val="21"/>
                      <w:szCs w:val="21"/>
                    </w:rPr>
                    <w:t>办公垃圾分类排放，检查合格率100%；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spacing w:line="240" w:lineRule="auto"/>
                    <w:jc w:val="center"/>
                    <w:rPr>
                      <w:rFonts w:hint="eastAsia" w:ascii="宋体" w:hAnsi="宋体" w:eastAsia="宋体" w:cs="宋体"/>
                      <w:sz w:val="21"/>
                      <w:szCs w:val="21"/>
                    </w:rPr>
                  </w:pPr>
                </w:p>
              </w:tc>
              <w:tc>
                <w:tcPr>
                  <w:tcW w:w="4225" w:type="dxa"/>
                  <w:gridSpan w:val="2"/>
                  <w:noWrap w:val="0"/>
                  <w:vAlign w:val="top"/>
                </w:tcPr>
                <w:p>
                  <w:pPr>
                    <w:spacing w:line="240" w:lineRule="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火灾事故为0</w:t>
                  </w:r>
                </w:p>
              </w:tc>
              <w:tc>
                <w:tcPr>
                  <w:tcW w:w="4420"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以实际统计数计算</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经20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12.20</w:t>
            </w:r>
            <w:bookmarkStart w:id="1" w:name="_GoBack"/>
            <w:bookmarkEnd w:id="1"/>
            <w:r>
              <w:rPr>
                <w:rFonts w:hint="eastAsia" w:ascii="宋体" w:hAnsi="宋体" w:eastAsia="宋体" w:cs="宋体"/>
                <w:sz w:val="21"/>
                <w:szCs w:val="21"/>
                <w:lang w:val="en-US" w:eastAsia="zh-CN"/>
              </w:rPr>
              <w:t>考核，各部门已完成目标。</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E：7.1</w:t>
            </w: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公司</w:t>
            </w:r>
            <w:r>
              <w:rPr>
                <w:rFonts w:hint="eastAsia" w:ascii="宋体" w:hAnsi="宋体" w:eastAsia="宋体" w:cs="宋体"/>
                <w:sz w:val="21"/>
                <w:szCs w:val="21"/>
              </w:rPr>
              <w:t>总投资</w:t>
            </w:r>
            <w:r>
              <w:rPr>
                <w:rFonts w:hint="eastAsia" w:ascii="宋体" w:hAnsi="宋体" w:eastAsia="宋体" w:cs="宋体"/>
                <w:sz w:val="21"/>
                <w:szCs w:val="21"/>
                <w:lang w:eastAsia="zh-CN"/>
              </w:rPr>
              <w:t>8</w:t>
            </w:r>
            <w:r>
              <w:rPr>
                <w:rFonts w:hint="eastAsia" w:ascii="宋体" w:hAnsi="宋体" w:eastAsia="宋体" w:cs="宋体"/>
                <w:sz w:val="21"/>
                <w:szCs w:val="21"/>
              </w:rPr>
              <w:t>000万元，占地面积</w:t>
            </w:r>
            <w:r>
              <w:rPr>
                <w:rFonts w:hint="eastAsia" w:ascii="宋体" w:hAnsi="宋体" w:eastAsia="宋体" w:cs="宋体"/>
                <w:sz w:val="21"/>
                <w:szCs w:val="21"/>
                <w:lang w:eastAsia="zh-CN"/>
              </w:rPr>
              <w:t>8</w:t>
            </w:r>
            <w:r>
              <w:rPr>
                <w:rFonts w:hint="eastAsia" w:ascii="宋体" w:hAnsi="宋体" w:eastAsia="宋体" w:cs="宋体"/>
                <w:sz w:val="21"/>
                <w:szCs w:val="21"/>
              </w:rPr>
              <w:t>0亩，公司现拥有2条精密机加生产线，各类数控车床、加工中心、数控花键磨床、数控高效花键铣床、数控滚丝机、数控内外圆磨床等精密机加设备200余台，碳硫分析仪、元素分析仪、气密试验机、布、洛氏硬度计、金相显微镜、分析天平、三坐标测量机等检测设备20余台，可年产400余万件精密机械零部件；现主要为陕西法士特集团公司、法士特伊顿离合器合资公司提供各种配套零件。公司为确保管理体系的有效运行和持续改进，确保满足顾客要求，增强顾客满意，为管理体系的有效运行和持续改进提供充分的资源，</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公司的</w:t>
            </w:r>
            <w:r>
              <w:rPr>
                <w:rFonts w:hint="eastAsia" w:ascii="宋体" w:hAnsi="宋体" w:eastAsia="宋体" w:cs="宋体"/>
                <w:sz w:val="21"/>
                <w:szCs w:val="21"/>
              </w:rPr>
              <w:t>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查见20</w:t>
            </w:r>
            <w:r>
              <w:rPr>
                <w:rFonts w:hint="eastAsia" w:ascii="宋体" w:hAnsi="宋体" w:cs="宋体"/>
                <w:sz w:val="21"/>
                <w:szCs w:val="21"/>
                <w:lang w:val="en-US" w:eastAsia="zh-CN"/>
              </w:rPr>
              <w:t>20</w:t>
            </w:r>
            <w:r>
              <w:rPr>
                <w:rFonts w:hint="eastAsia" w:ascii="宋体" w:hAnsi="宋体" w:eastAsia="宋体" w:cs="宋体"/>
                <w:sz w:val="21"/>
                <w:szCs w:val="21"/>
              </w:rPr>
              <w:t>年环保安全资金投入计划财务支出明细，至今支出</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万余元</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w:t>
            </w:r>
            <w:r>
              <w:rPr>
                <w:rFonts w:hint="eastAsia" w:ascii="宋体" w:hAnsi="宋体" w:eastAsia="宋体" w:cs="宋体"/>
                <w:sz w:val="21"/>
                <w:szCs w:val="21"/>
                <w:lang w:val="en-US" w:eastAsia="zh-CN"/>
              </w:rPr>
              <w:t>生产、</w:t>
            </w:r>
            <w:r>
              <w:rPr>
                <w:rFonts w:hint="eastAsia" w:ascii="宋体" w:hAnsi="宋体" w:eastAsia="宋体" w:cs="宋体"/>
                <w:sz w:val="21"/>
                <w:szCs w:val="21"/>
              </w:rPr>
              <w:t>仓库和</w:t>
            </w:r>
            <w:r>
              <w:rPr>
                <w:rFonts w:hint="eastAsia" w:ascii="宋体" w:hAnsi="宋体" w:eastAsia="宋体" w:cs="宋体"/>
                <w:sz w:val="21"/>
                <w:szCs w:val="21"/>
                <w:lang w:eastAsia="zh-CN"/>
              </w:rPr>
              <w:t>综合管理部</w:t>
            </w:r>
            <w:r>
              <w:rPr>
                <w:rFonts w:hint="eastAsia" w:ascii="宋体" w:hAnsi="宋体" w:eastAsia="宋体" w:cs="宋体"/>
                <w:sz w:val="21"/>
                <w:szCs w:val="21"/>
              </w:rPr>
              <w:t>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环境</w:t>
            </w:r>
            <w:r>
              <w:rPr>
                <w:rFonts w:hint="eastAsia" w:ascii="宋体" w:hAnsi="宋体" w:eastAsia="宋体" w:cs="宋体"/>
                <w:sz w:val="21"/>
                <w:szCs w:val="21"/>
              </w:rPr>
              <w:t>体系的要求。公司将依据经营发展的需要，会不断补充与增加。</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信息交流、沟通、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协商与参与</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E：7.4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68"/>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E：9.3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李峰</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widowControl/>
              <w:numPr>
                <w:ilvl w:val="0"/>
                <w:numId w:val="0"/>
              </w:numPr>
              <w:tabs>
                <w:tab w:val="left" w:pos="174"/>
              </w:tabs>
              <w:spacing w:line="360" w:lineRule="auto"/>
              <w:ind w:left="315" w:leftChars="0"/>
              <w:jc w:val="left"/>
              <w:rPr>
                <w:rFonts w:hint="eastAsia" w:ascii="宋体" w:hAnsi="宋体" w:eastAsia="宋体" w:cs="宋体"/>
                <w:color w:val="000000"/>
                <w:sz w:val="21"/>
                <w:szCs w:val="21"/>
              </w:rPr>
            </w:pPr>
            <w:r>
              <w:rPr>
                <w:rFonts w:hint="eastAsia" w:ascii="宋体" w:hAnsi="宋体" w:eastAsia="宋体" w:cs="宋体"/>
                <w:sz w:val="21"/>
                <w:szCs w:val="21"/>
              </w:rPr>
              <w:t>评审结论：</w:t>
            </w:r>
            <w:r>
              <w:rPr>
                <w:rFonts w:hint="eastAsia" w:ascii="宋体" w:hAnsi="宋体" w:eastAsia="宋体" w:cs="宋体"/>
                <w:sz w:val="21"/>
                <w:szCs w:val="21"/>
                <w:lang w:val="en-US" w:eastAsia="zh-CN"/>
              </w:rPr>
              <w:t>1、</w:t>
            </w:r>
            <w:r>
              <w:rPr>
                <w:rFonts w:hint="eastAsia" w:ascii="宋体" w:hAnsi="宋体" w:eastAsia="宋体" w:cs="宋体"/>
                <w:sz w:val="21"/>
                <w:szCs w:val="21"/>
              </w:rPr>
              <w:t>公司的环境管理体系、方针和目标符合目前状况，是适宜的、有效的、充分的。</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内部审核的实施达到预期的目标，各部门应增强对其人员的监督和培训，满足管理体系对其的要求。</w:t>
            </w:r>
            <w:r>
              <w:rPr>
                <w:rFonts w:hint="eastAsia" w:ascii="宋体" w:hAnsi="宋体" w:eastAsia="宋体" w:cs="宋体"/>
                <w:sz w:val="21"/>
                <w:szCs w:val="21"/>
                <w:lang w:val="en-US" w:eastAsia="zh-CN"/>
              </w:rPr>
              <w:t>3、</w:t>
            </w:r>
            <w:r>
              <w:rPr>
                <w:rFonts w:hint="eastAsia" w:ascii="宋体" w:hAnsi="宋体" w:eastAsia="宋体" w:cs="宋体"/>
                <w:sz w:val="21"/>
                <w:szCs w:val="21"/>
              </w:rPr>
              <w:t>综合管理部组织进行各级人员的培训，使其更明确程序的要求。</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顾客、相关方的反馈意见通过沟通能够按照程序及时处理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不合格、纠正措施的实施基本有效的避免类似问题的发生和再发生，风险和机遇应对措施基本有效。</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各部门在运行中基本遵守相关法律法规，按照要求对危险源和环境因素进行控制。</w:t>
            </w:r>
          </w:p>
          <w:p>
            <w:pPr>
              <w:widowControl/>
              <w:numPr>
                <w:ilvl w:val="0"/>
                <w:numId w:val="0"/>
              </w:numPr>
              <w:tabs>
                <w:tab w:val="left" w:pos="174"/>
              </w:tabs>
              <w:spacing w:line="360" w:lineRule="auto"/>
              <w:ind w:left="315"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公司的资源基本能够满足体系运行的需要。</w:t>
            </w:r>
          </w:p>
          <w:p>
            <w:pPr>
              <w:spacing w:line="360" w:lineRule="auto"/>
              <w:rPr>
                <w:rFonts w:hint="eastAsia" w:ascii="宋体" w:hAnsi="宋体" w:eastAsia="宋体" w:cs="宋体"/>
                <w:sz w:val="21"/>
                <w:szCs w:val="21"/>
              </w:rPr>
            </w:pPr>
            <w:r>
              <w:rPr>
                <w:rFonts w:hint="eastAsia" w:ascii="宋体" w:hAnsi="宋体" w:eastAsia="宋体" w:cs="宋体"/>
                <w:sz w:val="21"/>
                <w:szCs w:val="21"/>
              </w:rPr>
              <w:t>改进要求：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进一步加强员工环保法规知识培训</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E：10.1、10.3</w:t>
            </w:r>
          </w:p>
          <w:p>
            <w:pPr>
              <w:spacing w:line="360" w:lineRule="auto"/>
              <w:rPr>
                <w:rFonts w:hint="eastAsia" w:ascii="宋体" w:hAnsi="宋体" w:eastAsia="宋体" w:cs="宋体"/>
                <w:sz w:val="21"/>
                <w:szCs w:val="21"/>
              </w:rPr>
            </w:pP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w:t>
            </w:r>
            <w:r>
              <w:rPr>
                <w:rFonts w:hint="eastAsia" w:ascii="宋体" w:hAnsi="宋体" w:eastAsia="宋体" w:cs="宋体"/>
                <w:color w:val="000000"/>
                <w:sz w:val="21"/>
                <w:szCs w:val="21"/>
                <w:lang w:val="en-US" w:eastAsia="zh-CN"/>
              </w:rPr>
              <w:t>综合管理部</w:t>
            </w:r>
            <w:r>
              <w:rPr>
                <w:rFonts w:hint="eastAsia" w:ascii="宋体" w:hAnsi="宋体" w:eastAsia="宋体" w:cs="宋体"/>
                <w:color w:val="000000"/>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验证资质</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初次</w:t>
            </w:r>
            <w:r>
              <w:rPr>
                <w:rFonts w:hint="eastAsia" w:ascii="宋体" w:hAnsi="宋体" w:eastAsia="宋体" w:cs="宋体"/>
                <w:sz w:val="21"/>
                <w:szCs w:val="21"/>
              </w:rPr>
              <w:t>问题验证</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初次</w:t>
            </w:r>
            <w:r>
              <w:rPr>
                <w:rFonts w:hint="eastAsia" w:ascii="宋体" w:hAnsi="宋体" w:eastAsia="宋体" w:cs="宋体"/>
                <w:sz w:val="21"/>
                <w:szCs w:val="21"/>
              </w:rPr>
              <w:t>审核时发现的问题，经现场验证已关闭，整改措施有效。</w:t>
            </w:r>
          </w:p>
        </w:tc>
        <w:tc>
          <w:tcPr>
            <w:tcW w:w="1585" w:type="dxa"/>
          </w:tcPr>
          <w:p>
            <w:pPr>
              <w:spacing w:line="360" w:lineRule="auto"/>
              <w:rPr>
                <w:rFonts w:hint="eastAsia" w:ascii="宋体" w:hAnsi="宋体" w:eastAsia="宋体" w:cs="宋体"/>
                <w:sz w:val="21"/>
                <w:szCs w:val="21"/>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5D40D2"/>
    <w:rsid w:val="03DD03A7"/>
    <w:rsid w:val="03F2063F"/>
    <w:rsid w:val="0952002A"/>
    <w:rsid w:val="0C2E650C"/>
    <w:rsid w:val="0C6D69E2"/>
    <w:rsid w:val="108219C2"/>
    <w:rsid w:val="198E1849"/>
    <w:rsid w:val="204B246C"/>
    <w:rsid w:val="253B0A81"/>
    <w:rsid w:val="264277EB"/>
    <w:rsid w:val="27983872"/>
    <w:rsid w:val="28C57B8B"/>
    <w:rsid w:val="293A16F1"/>
    <w:rsid w:val="296A79AC"/>
    <w:rsid w:val="2F2A2336"/>
    <w:rsid w:val="32D8032C"/>
    <w:rsid w:val="36BD6FED"/>
    <w:rsid w:val="396B2747"/>
    <w:rsid w:val="3DA46900"/>
    <w:rsid w:val="43C65B90"/>
    <w:rsid w:val="45F91B41"/>
    <w:rsid w:val="4A1A2263"/>
    <w:rsid w:val="537F77EE"/>
    <w:rsid w:val="548C5E61"/>
    <w:rsid w:val="55993DCF"/>
    <w:rsid w:val="5A21345D"/>
    <w:rsid w:val="5B853EA5"/>
    <w:rsid w:val="5EA12B9A"/>
    <w:rsid w:val="62D3586D"/>
    <w:rsid w:val="69FC3910"/>
    <w:rsid w:val="6DD70F24"/>
    <w:rsid w:val="6E7E5474"/>
    <w:rsid w:val="6EA10DF3"/>
    <w:rsid w:val="729835F2"/>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2</TotalTime>
  <ScaleCrop>false</ScaleCrop>
  <LinksUpToDate>false</LinksUpToDate>
  <CharactersWithSpaces>7702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LIL</cp:lastModifiedBy>
  <dcterms:modified xsi:type="dcterms:W3CDTF">2020-12-29T13:02:12Z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