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rFonts w:hint="eastAsia" w:ascii="楷体" w:hAnsi="楷体" w:eastAsia="楷体"/>
          <w:color w:val="000000"/>
          <w:sz w:val="24"/>
          <w:szCs w:val="24"/>
        </w:rPr>
        <w:t>0715-2020-QEO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天津致通供应链管理有限公司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审核方名称</w:t>
            </w:r>
          </w:p>
        </w:tc>
        <w:tc>
          <w:tcPr>
            <w:tcW w:w="7681"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审核方地址</w:t>
            </w:r>
          </w:p>
        </w:tc>
        <w:tc>
          <w:tcPr>
            <w:tcW w:w="517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邮编</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联系电话</w:t>
            </w:r>
          </w:p>
        </w:tc>
        <w:tc>
          <w:tcPr>
            <w:tcW w:w="19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themeColor="text1"/>
                <w:sz w:val="20"/>
                <w:szCs w:val="20"/>
              </w:rPr>
              <w:t>010-</w:t>
            </w:r>
            <w:r>
              <w:rPr>
                <w:b/>
                <w:color w:val="000000"/>
                <w:sz w:val="20"/>
                <w:szCs w:val="20"/>
              </w:rPr>
              <w:t>53516258</w:t>
            </w:r>
          </w:p>
        </w:tc>
        <w:tc>
          <w:tcPr>
            <w:tcW w:w="10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传真</w:t>
            </w:r>
          </w:p>
        </w:tc>
        <w:tc>
          <w:tcPr>
            <w:tcW w:w="150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b/>
                <w:color w:val="000000" w:themeColor="text1"/>
                <w:sz w:val="20"/>
                <w:szCs w:val="20"/>
              </w:rPr>
              <w:t>010</w:t>
            </w:r>
            <w:r>
              <w:rPr>
                <w:rFonts w:hint="eastAsia"/>
                <w:b/>
                <w:color w:val="000000" w:themeColor="text1"/>
                <w:sz w:val="20"/>
                <w:szCs w:val="20"/>
              </w:rPr>
              <w:t>-</w:t>
            </w:r>
            <w:r>
              <w:rPr>
                <w:b/>
                <w:color w:val="000000"/>
                <w:sz w:val="20"/>
                <w:szCs w:val="20"/>
              </w:rPr>
              <w:t>53516258</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邮箱</w:t>
            </w:r>
          </w:p>
        </w:tc>
        <w:tc>
          <w:tcPr>
            <w:tcW w:w="250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b/>
                <w:color w:val="000000"/>
                <w:sz w:val="20"/>
                <w:szCs w:val="20"/>
              </w:rPr>
              <w:t>姓名</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18"/>
                <w:szCs w:val="18"/>
              </w:rPr>
            </w:pPr>
            <w:r>
              <w:rPr>
                <w:rFonts w:hint="eastAsia"/>
                <w:sz w:val="18"/>
                <w:szCs w:val="18"/>
              </w:rPr>
              <w:t>组内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身份</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性别</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注册资格</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吉洁</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组长</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女</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Q:审核员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E:审核员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张鹏</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Q:审核员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E:审核员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sz w:val="21"/>
                <w:szCs w:val="21"/>
              </w:rPr>
              <w:t>O:审核员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周文廷</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sz w:val="21"/>
                <w:szCs w:val="21"/>
              </w:rPr>
              <w:t>Q:审核员</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鞠殿铭</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组员</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rPr>
              <w:t>男</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Q:专家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sz w:val="21"/>
                <w:szCs w:val="21"/>
              </w:rPr>
              <w:t>E:专家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sz w:val="21"/>
                <w:szCs w:val="21"/>
              </w:rPr>
              <w:t>O:专家</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Q:31.04.01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1"/>
                <w:szCs w:val="21"/>
              </w:rPr>
            </w:pPr>
            <w:r>
              <w:rPr>
                <w:rFonts w:hint="eastAsia"/>
                <w:sz w:val="21"/>
                <w:szCs w:val="21"/>
              </w:rPr>
              <w:t>E:31.04.01</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sz w:val="21"/>
                <w:szCs w:val="21"/>
              </w:rPr>
              <w:t>O:31.04.01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姓名</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性别</w:t>
            </w: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角色</w:t>
            </w: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r>
              <w:rPr>
                <w:rFonts w:hint="eastAsia"/>
                <w:b/>
                <w:color w:val="000000"/>
                <w:sz w:val="20"/>
                <w:szCs w:val="20"/>
              </w:rPr>
              <w:t>工作单位</w:t>
            </w: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c>
          <w:tcPr>
            <w:tcW w:w="141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c>
          <w:tcPr>
            <w:tcW w:w="3402"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c>
          <w:tcPr>
            <w:tcW w:w="21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w:t>
      </w:r>
      <w:r>
        <w:rPr>
          <w:rFonts w:hint="eastAsia" w:ascii="宋体" w:hAnsi="宋体"/>
          <w:b/>
          <w:color w:val="000000"/>
          <w:sz w:val="20"/>
          <w:szCs w:val="20"/>
          <w:lang w:val="en-US" w:eastAsia="zh-CN"/>
        </w:rPr>
        <w:t xml:space="preserve"> </w:t>
      </w:r>
      <w:r>
        <w:rPr>
          <w:rFonts w:ascii="宋体" w:hAnsi="宋体"/>
          <w:b/>
          <w:color w:val="000000"/>
          <w:sz w:val="20"/>
          <w:szCs w:val="20"/>
          <w:lang w:val="de-DE"/>
        </w:rPr>
        <w: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T 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1757"/>
        <w:gridCol w:w="101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天津致通供应链管理有限公司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269"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8" w:name="注册地址"/>
            <w:r>
              <w:t>天津自贸试验区（空港经济区）颐景公寓7-2-201</w:t>
            </w:r>
            <w:bookmarkEnd w:id="8"/>
          </w:p>
        </w:tc>
        <w:tc>
          <w:tcPr>
            <w:tcW w:w="101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邮编</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9" w:name="生产邮编"/>
            <w:r>
              <w:rPr>
                <w:b w:val="0"/>
                <w:bCs/>
                <w:color w:val="000000" w:themeColor="text1"/>
                <w:sz w:val="22"/>
                <w:szCs w:val="22"/>
              </w:rPr>
              <w:t>300000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269" w:type="dxa"/>
            <w:gridSpan w:val="3"/>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0" w:name="经营地址"/>
            <w:bookmarkEnd w:id="10"/>
            <w:r>
              <w:rPr>
                <w:rFonts w:hint="eastAsia"/>
                <w:sz w:val="21"/>
                <w:szCs w:val="21"/>
                <w:lang w:eastAsia="zh-CN"/>
              </w:rPr>
              <w:t>天津滨海新区新村街美晨大厦10楼1001</w:t>
            </w:r>
          </w:p>
        </w:tc>
        <w:tc>
          <w:tcPr>
            <w:tcW w:w="101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bookmarkStart w:id="11" w:name="经营邮编"/>
            <w:bookmarkEnd w:id="11"/>
            <w:r>
              <w:rPr>
                <w:b w:val="0"/>
                <w:bCs/>
                <w:color w:val="000000" w:themeColor="text1"/>
                <w:sz w:val="22"/>
                <w:szCs w:val="22"/>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bookmarkStart w:id="12" w:name="联系人"/>
            <w:r>
              <w:rPr>
                <w:sz w:val="21"/>
                <w:szCs w:val="21"/>
              </w:rPr>
              <w:t>周建基</w:t>
            </w:r>
            <w:bookmarkEnd w:id="12"/>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电话</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3" w:name="联系人电话"/>
            <w:r>
              <w:rPr>
                <w:sz w:val="21"/>
                <w:szCs w:val="21"/>
              </w:rPr>
              <w:t>13810387360</w:t>
            </w:r>
            <w:bookmarkEnd w:id="13"/>
          </w:p>
        </w:tc>
        <w:tc>
          <w:tcPr>
            <w:tcW w:w="101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传真</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b/>
                <w:color w:val="000000"/>
                <w:sz w:val="20"/>
                <w:szCs w:val="20"/>
                <w:lang w:val="en-US"/>
              </w:rPr>
            </w:pPr>
            <w:bookmarkStart w:id="14" w:name="联系人传真Add1"/>
            <w:bookmarkEnd w:id="14"/>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宋体" w:eastAsia="宋体"/>
                <w:b/>
                <w:color w:val="000000"/>
                <w:sz w:val="20"/>
                <w:szCs w:val="20"/>
                <w:lang w:eastAsia="zh-CN"/>
              </w:rPr>
            </w:pPr>
            <w:r>
              <w:rPr>
                <w:sz w:val="21"/>
                <w:szCs w:val="21"/>
              </w:rPr>
              <w:t>周建基</w:t>
            </w:r>
          </w:p>
        </w:tc>
        <w:tc>
          <w:tcPr>
            <w:tcW w:w="146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管理者代表</w:t>
            </w:r>
          </w:p>
        </w:tc>
        <w:tc>
          <w:tcPr>
            <w:tcW w:w="1757"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default" w:ascii="宋体" w:eastAsia="宋体"/>
                <w:b/>
                <w:color w:val="000000"/>
                <w:sz w:val="20"/>
                <w:szCs w:val="20"/>
                <w:lang w:val="en-US" w:eastAsia="zh-CN"/>
              </w:rPr>
            </w:pPr>
            <w:r>
              <w:rPr>
                <w:rFonts w:hint="eastAsia"/>
                <w:sz w:val="21"/>
                <w:szCs w:val="21"/>
              </w:rPr>
              <w:t xml:space="preserve">刘晓利 </w:t>
            </w:r>
          </w:p>
        </w:tc>
        <w:tc>
          <w:tcPr>
            <w:tcW w:w="1010"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b/>
                <w:color w:val="000000"/>
                <w:sz w:val="20"/>
                <w:szCs w:val="20"/>
              </w:rPr>
              <w:t>邮箱</w:t>
            </w:r>
          </w:p>
        </w:tc>
        <w:tc>
          <w:tcPr>
            <w:tcW w:w="2213"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bookmarkStart w:id="15" w:name="联系人邮箱Add1"/>
            <w:bookmarkEnd w:id="15"/>
            <w:bookmarkStart w:id="16" w:name="联系人邮箱"/>
            <w:r>
              <w:rPr>
                <w:sz w:val="21"/>
                <w:szCs w:val="21"/>
              </w:rPr>
              <w:t>zhoujianji@263.net</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2020年9月1日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000000"/>
                <w:szCs w:val="21"/>
              </w:rPr>
            </w:pPr>
            <w:bookmarkStart w:id="17" w:name="审核范围"/>
            <w:r>
              <w:rPr>
                <w:rFonts w:hint="eastAsia" w:ascii="宋体" w:hAnsi="宋体"/>
                <w:szCs w:val="21"/>
              </w:rPr>
              <w:t>Q：普通货运、货物专用运输（集装箱）、大型物件运输（限许可范围内）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E：普通货运、货物专用运输（集装箱）、大型物件运输（限许可范围内）所涉及场所的相关环境管理活动</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 w:val="20"/>
                <w:szCs w:val="20"/>
              </w:rPr>
            </w:pPr>
            <w:r>
              <w:rPr>
                <w:rFonts w:hint="eastAsia" w:ascii="宋体" w:hAnsi="宋体"/>
                <w:szCs w:val="21"/>
              </w:rPr>
              <w:t>O：普通货运、货物专用运输（集装箱）、大型物件运输（限许可范围内）所涉及场所的相关职业健康安全管理活动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sz w:val="21"/>
                <w:szCs w:val="21"/>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b/>
                <w:color w:val="000000"/>
                <w:sz w:val="20"/>
                <w:szCs w:val="20"/>
                <w:lang w:val="en-US" w:eastAsia="zh-CN"/>
              </w:rPr>
              <w:t>无</w:t>
            </w:r>
          </w:p>
        </w:tc>
      </w:tr>
    </w:tbl>
    <w:p>
      <w:pPr>
        <w:snapToGrid w:val="0"/>
        <w:spacing w:beforeLines="50"/>
        <w:ind w:firstLine="282" w:firstLineChars="115"/>
        <w:rPr>
          <w:rFonts w:hint="eastAsia" w:ascii="宋体" w:eastAsia="宋体"/>
          <w:b/>
          <w:color w:val="000000"/>
          <w:szCs w:val="21"/>
          <w:lang w:eastAsia="zh-CN"/>
        </w:rPr>
      </w:pPr>
      <w:r>
        <w:rPr>
          <w:rFonts w:hint="eastAsia" w:ascii="宋体" w:hAnsi="宋体"/>
          <w:b/>
          <w:color w:val="000000"/>
          <w:spacing w:val="-8"/>
          <w:sz w:val="26"/>
          <w:szCs w:val="26"/>
        </w:rPr>
        <w:t>五、审核活动综述</w:t>
      </w:r>
      <w:r>
        <w:rPr>
          <w:rFonts w:hint="eastAsia" w:ascii="宋体" w:hAnsi="宋体"/>
          <w:b/>
          <w:color w:val="000000"/>
          <w:spacing w:val="-8"/>
          <w:sz w:val="26"/>
          <w:szCs w:val="26"/>
          <w:lang w:eastAsia="zh-CN"/>
        </w:rPr>
        <w:t>（</w:t>
      </w:r>
      <w:r>
        <w:rPr>
          <w:rFonts w:hint="eastAsia" w:ascii="宋体" w:hAnsi="宋体"/>
          <w:b/>
          <w:color w:val="000000"/>
          <w:spacing w:val="-8"/>
          <w:sz w:val="26"/>
          <w:szCs w:val="26"/>
          <w:lang w:val="en-US" w:eastAsia="zh-CN"/>
        </w:rPr>
        <w:t>远程审核</w:t>
      </w:r>
      <w:r>
        <w:rPr>
          <w:rFonts w:hint="eastAsia" w:ascii="宋体" w:hAnsi="宋体"/>
          <w:b/>
          <w:color w:val="000000"/>
          <w:spacing w:val="-8"/>
          <w:sz w:val="26"/>
          <w:szCs w:val="26"/>
          <w:lang w:eastAsia="zh-CN"/>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一阶段审核巡视了以下部门和场所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管理层、运营部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sz w:val="21"/>
          <w:szCs w:val="21"/>
          <w:lang w:eastAsia="zh-CN"/>
        </w:rPr>
        <w:t>天津滨海新区新村街美晨大厦10楼1001</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jc w:val="both"/>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jc w:val="left"/>
              <w:rPr>
                <w:rFonts w:ascii="宋体"/>
                <w:b/>
                <w:color w:val="000000"/>
                <w:sz w:val="20"/>
                <w:szCs w:val="20"/>
              </w:rPr>
            </w:pPr>
            <w:r>
              <w:rPr>
                <w:rFonts w:hint="eastAsia" w:ascii="宋体" w:hAnsi="宋体"/>
                <w:szCs w:val="21"/>
              </w:rPr>
              <w:t>普通货运、货物专用运输（集装箱）、大型物件运输（限许可范围内）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运营部、市场部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运营部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运营部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运营部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天津滨海新区新村街美晨大厦10楼1001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cs="Times New Roman"/>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天津滨海新区新村街美晨大厦10楼1001</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1</w:t>
            </w:r>
            <w:r>
              <w:rPr>
                <w:rFonts w:hint="eastAsia" w:ascii="宋体" w:hAnsi="宋体"/>
                <w:color w:val="000000"/>
                <w:sz w:val="20"/>
                <w:szCs w:val="20"/>
              </w:rPr>
              <w:t>种</w:t>
            </w:r>
            <w:r>
              <w:rPr>
                <w:rFonts w:hint="eastAsia" w:ascii="宋体" w:hAnsi="宋体"/>
                <w:color w:val="000000"/>
                <w:sz w:val="20"/>
                <w:szCs w:val="20"/>
                <w:lang w:val="en-US" w:eastAsia="zh-CN"/>
              </w:rPr>
              <w:t>服务</w:t>
            </w:r>
            <w:r>
              <w:rPr>
                <w:rFonts w:hint="eastAsia" w:ascii="宋体" w:hAnsi="宋体"/>
                <w:color w:val="000000"/>
                <w:sz w:val="20"/>
                <w:szCs w:val="20"/>
              </w:rPr>
              <w:t>，</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楷体" w:hAnsi="楷体" w:eastAsia="楷体"/>
                <w:color w:val="000000"/>
                <w:szCs w:val="21"/>
              </w:rPr>
              <w:t>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楷体" w:hAnsi="楷体" w:eastAsia="楷体"/>
              </w:rPr>
              <w:t>《物流服务合同准则》（GB/T 30333-2013、</w:t>
            </w:r>
            <w:r>
              <w:rPr>
                <w:rFonts w:ascii="楷体" w:hAnsi="楷体" w:eastAsia="楷体" w:cs="Arial"/>
                <w:color w:val="191919"/>
                <w:shd w:val="clear" w:color="auto" w:fill="FFFFFF"/>
              </w:rPr>
              <w:t>《物流单证基本要求》（GB/T33449-2016）、《公路物流主要单证要素要求》（GB/T33458-2016）</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接受订单—</w:t>
            </w:r>
            <w:r>
              <w:rPr>
                <w:rFonts w:hint="eastAsia" w:ascii="宋体" w:hAnsi="宋体"/>
                <w:color w:val="000000"/>
                <w:sz w:val="20"/>
                <w:szCs w:val="20"/>
                <w:lang w:val="zh-CN"/>
              </w:rPr>
              <w:t>订单分配—计划调度—指定地点接货—车辆运输—客户回单签收—信息反馈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针对关键过程建立的控制文件有：《运输服务程序》、《顾客满意度调查制度》、《服务质量检查制度》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w:t>
            </w:r>
            <w:r>
              <w:rPr>
                <w:rFonts w:hint="eastAsia" w:ascii="宋体" w:hAnsi="宋体"/>
                <w:color w:val="000000"/>
                <w:sz w:val="20"/>
                <w:szCs w:val="20"/>
                <w:lang w:val="en-US" w:eastAsia="zh-CN"/>
              </w:rPr>
              <w:t>车辆维修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电脑、一体机、电话等办公设备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eastAsia="zh-CN"/>
              </w:rPr>
              <w:t>办公</w:t>
            </w:r>
            <w:r>
              <w:rPr>
                <w:rFonts w:hint="eastAsia"/>
                <w:color w:val="auto"/>
                <w:sz w:val="21"/>
                <w:szCs w:val="21"/>
                <w:lang w:eastAsia="zh-CN"/>
              </w:rPr>
              <w:t>区域面积</w:t>
            </w:r>
            <w:r>
              <w:rPr>
                <w:rFonts w:hint="eastAsia"/>
                <w:color w:val="auto"/>
                <w:sz w:val="21"/>
                <w:szCs w:val="21"/>
                <w:lang w:val="en-US" w:eastAsia="zh-CN"/>
              </w:rPr>
              <w:t>100平米</w:t>
            </w:r>
            <w:r>
              <w:rPr>
                <w:rFonts w:hint="eastAsia"/>
                <w:sz w:val="21"/>
                <w:szCs w:val="21"/>
                <w:lang w:val="en-US" w:eastAsia="zh-CN"/>
              </w:rPr>
              <w:t>，</w:t>
            </w:r>
            <w:r>
              <w:rPr>
                <w:rFonts w:hint="eastAsia"/>
                <w:sz w:val="21"/>
                <w:szCs w:val="21"/>
                <w:lang w:eastAsia="zh-CN"/>
              </w:rPr>
              <w:t>布局合理，场所卫生干净整洁，工作环境良好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sz w:val="21"/>
                <w:szCs w:val="21"/>
              </w:rPr>
              <w:t>固体废弃物排放、火灾的发生</w:t>
            </w:r>
            <w:r>
              <w:rPr>
                <w:rFonts w:hint="eastAsia"/>
                <w:sz w:val="21"/>
                <w:szCs w:val="21"/>
                <w:lang w:eastAsia="zh-CN"/>
              </w:rPr>
              <w:t>、</w:t>
            </w:r>
            <w:r>
              <w:rPr>
                <w:rFonts w:hint="eastAsia"/>
                <w:sz w:val="21"/>
                <w:szCs w:val="21"/>
                <w:lang w:val="en-US" w:eastAsia="zh-CN"/>
              </w:rPr>
              <w:t>车辆尾气排放</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sz w:val="21"/>
                <w:szCs w:val="21"/>
              </w:rPr>
              <w:t>火灾、触电</w:t>
            </w:r>
            <w:r>
              <w:rPr>
                <w:rFonts w:hint="eastAsia"/>
                <w:sz w:val="21"/>
                <w:szCs w:val="21"/>
                <w:lang w:eastAsia="zh-CN"/>
              </w:rPr>
              <w:t>、</w:t>
            </w:r>
            <w:r>
              <w:rPr>
                <w:rFonts w:hint="eastAsia"/>
                <w:sz w:val="21"/>
                <w:szCs w:val="21"/>
                <w:lang w:val="en-US" w:eastAsia="zh-CN"/>
              </w:rPr>
              <w:t>交通伤害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运营部、市场部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运营部、市场部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运营部、市场部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val="0"/>
                <w:bCs/>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r>
              <w:rPr>
                <w:rFonts w:hint="eastAsia" w:ascii="宋体" w:hAnsi="宋体"/>
                <w:b w:val="0"/>
                <w:bCs/>
                <w:color w:val="000000"/>
                <w:sz w:val="20"/>
                <w:szCs w:val="20"/>
                <w:lang w:eastAsia="zh-CN"/>
              </w:rPr>
              <w:t>审核组认为本公司建立的管理体系基本符合GB/T19001-2016标准、GB/T24001-2016和ISO45001:2018标准的要求，且运行有效。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w:t>
            </w:r>
            <w:r>
              <w:rPr>
                <w:rFonts w:ascii="宋体" w:hAnsi="宋体"/>
                <w:b w:val="0"/>
                <w:bCs/>
                <w:color w:val="000000"/>
                <w:sz w:val="20"/>
                <w:szCs w:val="20"/>
              </w:rPr>
              <w:t xml:space="preserve"> </w:t>
            </w:r>
            <w:r>
              <w:rPr>
                <w:rFonts w:hint="eastAsia" w:ascii="宋体" w:hAnsi="宋体"/>
                <w:b w:val="0"/>
                <w:bCs/>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val="0"/>
                <w:bCs/>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ascii="宋体" w:hAnsi="宋体"/>
                <w:b w:val="0"/>
                <w:bCs/>
                <w:color w:val="000000"/>
                <w:sz w:val="20"/>
                <w:szCs w:val="20"/>
              </w:rPr>
              <w:t>本公司质量、环境和职业健康安全管理体系已建立并得到充分、有效、适宜的运行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color w:val="000000"/>
          <w:szCs w:val="21"/>
        </w:rPr>
      </w:pPr>
      <w:r>
        <w:rPr>
          <w:rFonts w:hint="eastAsia" w:ascii="宋体" w:hAnsi="宋体"/>
          <w:szCs w:val="21"/>
        </w:rPr>
        <w:t>Q：普通货运、货物专用运输（集装箱）、大型物件运输（限许可范围内）</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szCs w:val="21"/>
        </w:rPr>
      </w:pPr>
      <w:r>
        <w:rPr>
          <w:rFonts w:hint="eastAsia" w:ascii="宋体" w:hAnsi="宋体"/>
          <w:szCs w:val="21"/>
        </w:rPr>
        <w:t>E：普通货运、货物专用运输（集装箱）、大型物件运输（限许可范围内）所涉及场所的相关环境管理活动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sz w:val="21"/>
          <w:szCs w:val="21"/>
        </w:rPr>
      </w:pPr>
      <w:r>
        <w:rPr>
          <w:rFonts w:hint="eastAsia" w:ascii="宋体" w:hAnsi="宋体"/>
          <w:szCs w:val="21"/>
        </w:rPr>
        <w:t>O：普通货运、货物专用运输（集装箱）、大型物件运输（限许可范围内）所涉及场所的相关职业健康安全管理活动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eastAsia" w:eastAsia="宋体"/>
          <w:b w:val="0"/>
          <w:bCs w:val="0"/>
          <w:sz w:val="21"/>
          <w:szCs w:val="21"/>
          <w:lang w:eastAsia="zh-CN"/>
        </w:rPr>
        <w:drawing>
          <wp:anchor distT="0" distB="0" distL="114300" distR="114300" simplePos="0" relativeHeight="251658240" behindDoc="0" locked="0" layoutInCell="1" allowOverlap="1">
            <wp:simplePos x="0" y="0"/>
            <wp:positionH relativeFrom="column">
              <wp:posOffset>1738630</wp:posOffset>
            </wp:positionH>
            <wp:positionV relativeFrom="paragraph">
              <wp:posOffset>189230</wp:posOffset>
            </wp:positionV>
            <wp:extent cx="950595" cy="45783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50595" cy="45783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0" w:firstLineChars="400"/>
        <w:rPr>
          <w:rFonts w:hint="eastAsia" w:ascii="宋体" w:hAnsi="宋体"/>
          <w:b/>
          <w:color w:val="000000"/>
        </w:rPr>
      </w:pPr>
      <w:r>
        <w:rPr>
          <w:sz w:val="20"/>
        </w:rPr>
        <w:drawing>
          <wp:anchor distT="0" distB="0" distL="0" distR="0" simplePos="0" relativeHeight="251675648" behindDoc="0" locked="0" layoutInCell="1" allowOverlap="1">
            <wp:simplePos x="0" y="0"/>
            <wp:positionH relativeFrom="column">
              <wp:posOffset>4077335</wp:posOffset>
            </wp:positionH>
            <wp:positionV relativeFrom="paragraph">
              <wp:posOffset>191135</wp:posOffset>
            </wp:positionV>
            <wp:extent cx="858520" cy="363220"/>
            <wp:effectExtent l="0" t="0" r="508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58520" cy="363220"/>
                    </a:xfrm>
                    <a:prstGeom prst="rect">
                      <a:avLst/>
                    </a:prstGeom>
                    <a:noFill/>
                  </pic:spPr>
                </pic:pic>
              </a:graphicData>
            </a:graphic>
          </wp:anchor>
        </w:drawing>
      </w:r>
      <w:r>
        <w:drawing>
          <wp:anchor distT="0" distB="0" distL="114300" distR="114300" simplePos="0" relativeHeight="251680768" behindDoc="0" locked="0" layoutInCell="1" allowOverlap="1">
            <wp:simplePos x="0" y="0"/>
            <wp:positionH relativeFrom="column">
              <wp:posOffset>2891790</wp:posOffset>
            </wp:positionH>
            <wp:positionV relativeFrom="paragraph">
              <wp:posOffset>183515</wp:posOffset>
            </wp:positionV>
            <wp:extent cx="1066800" cy="425450"/>
            <wp:effectExtent l="0" t="0" r="0" b="635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066800" cy="425450"/>
                    </a:xfrm>
                    <a:prstGeom prst="rect">
                      <a:avLst/>
                    </a:prstGeom>
                    <a:noFill/>
                    <a:ln>
                      <a:noFill/>
                    </a:ln>
                  </pic:spPr>
                </pic:pic>
              </a:graphicData>
            </a:graphic>
          </wp:anchor>
        </w:drawing>
      </w:r>
      <w:r>
        <w:rPr>
          <w:rFonts w:hint="eastAsia" w:ascii="宋体" w:eastAsia="宋体"/>
          <w:b/>
          <w:color w:val="000000"/>
          <w:lang w:eastAsia="zh-CN"/>
        </w:rPr>
        <w:drawing>
          <wp:anchor distT="0" distB="0" distL="114300" distR="114300" simplePos="0" relativeHeight="251678720" behindDoc="0" locked="0" layoutInCell="1" allowOverlap="1">
            <wp:simplePos x="0" y="0"/>
            <wp:positionH relativeFrom="column">
              <wp:posOffset>1772285</wp:posOffset>
            </wp:positionH>
            <wp:positionV relativeFrom="paragraph">
              <wp:posOffset>219710</wp:posOffset>
            </wp:positionV>
            <wp:extent cx="1007110" cy="440055"/>
            <wp:effectExtent l="0" t="0" r="8890" b="4445"/>
            <wp:wrapNone/>
            <wp:docPr id="5"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032f67c90857df5b6493e827f97d2b6"/>
                    <pic:cNvPicPr>
                      <a:picLocks noChangeAspect="1"/>
                    </pic:cNvPicPr>
                  </pic:nvPicPr>
                  <pic:blipFill>
                    <a:blip r:embed="rId9"/>
                    <a:stretch>
                      <a:fillRect/>
                    </a:stretch>
                  </pic:blipFill>
                  <pic:spPr>
                    <a:xfrm>
                      <a:off x="0" y="0"/>
                      <a:ext cx="1007110" cy="440055"/>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sz w:val="24"/>
              </w:rPr>
              <w:pict>
                <v:line id="_x0000_s1026" o:spid="_x0000_s1026" o:spt="20" style="position:absolute;left:0pt;flip:y;margin-left:12.1pt;margin-top:16.4pt;height:230pt;width:467.25pt;z-index:251674624;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4"/>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4"/>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02" w:type="dxa"/>
            <w:vAlign w:val="center"/>
          </w:tcPr>
          <w:p>
            <w:pPr>
              <w:pStyle w:val="4"/>
              <w:pBdr>
                <w:bottom w:val="none" w:color="auto" w:sz="0" w:space="0"/>
              </w:pBdr>
              <w:tabs>
                <w:tab w:val="center" w:pos="5737"/>
                <w:tab w:val="clear" w:pos="4153"/>
              </w:tabs>
              <w:jc w:val="both"/>
              <w:rPr>
                <w:color w:val="000000"/>
                <w:sz w:val="24"/>
                <w:szCs w:val="24"/>
              </w:rPr>
            </w:pPr>
          </w:p>
        </w:tc>
        <w:tc>
          <w:tcPr>
            <w:tcW w:w="2567"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277558"/>
    <w:rsid w:val="0D90031B"/>
    <w:rsid w:val="1D0C61DC"/>
    <w:rsid w:val="38744EEA"/>
    <w:rsid w:val="4205474A"/>
    <w:rsid w:val="44FA4D29"/>
    <w:rsid w:val="5245771F"/>
    <w:rsid w:val="5A700975"/>
    <w:rsid w:val="60956B42"/>
    <w:rsid w:val="79335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2021-01-20T07:50:14Z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