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0228-2020-QEO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成都绿净鲜餐饮有限公司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组长</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Q:29.07.09</w:t>
            </w:r>
          </w:p>
          <w:p>
            <w:pPr>
              <w:spacing w:line="240" w:lineRule="exact"/>
              <w:jc w:val="center"/>
              <w:rPr>
                <w:b/>
                <w:color w:val="000000" w:themeColor="text1"/>
                <w:sz w:val="20"/>
                <w:szCs w:val="20"/>
              </w:rPr>
            </w:pPr>
            <w:r>
              <w:rPr>
                <w:b/>
                <w:color w:val="000000" w:themeColor="text1"/>
                <w:sz w:val="20"/>
                <w:szCs w:val="20"/>
              </w:rPr>
              <w:t>E:29.07.09</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Q:29.07.09</w:t>
            </w:r>
          </w:p>
          <w:p>
            <w:pPr>
              <w:spacing w:line="240" w:lineRule="exact"/>
              <w:jc w:val="center"/>
              <w:rPr>
                <w:b/>
                <w:color w:val="000000" w:themeColor="text1"/>
                <w:sz w:val="20"/>
                <w:szCs w:val="20"/>
              </w:rPr>
            </w:pPr>
            <w:r>
              <w:rPr>
                <w:b/>
                <w:color w:val="000000" w:themeColor="text1"/>
                <w:sz w:val="20"/>
                <w:szCs w:val="20"/>
              </w:rPr>
              <w:t>E:29.07.09</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余家龙</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张心</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Q:审核员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陈伟</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Q:29.07.09</w:t>
            </w:r>
          </w:p>
          <w:p>
            <w:pPr>
              <w:spacing w:line="240" w:lineRule="exact"/>
              <w:jc w:val="center"/>
              <w:rPr>
                <w:b/>
                <w:color w:val="FF0000"/>
                <w:sz w:val="20"/>
                <w:szCs w:val="20"/>
              </w:rPr>
            </w:pPr>
            <w:r>
              <w:rPr>
                <w:b/>
                <w:color w:val="FF0000"/>
                <w:sz w:val="20"/>
                <w:szCs w:val="20"/>
              </w:rPr>
              <w:t>E:29.07.09</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宋明珠</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陈伟</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成都绿净鲜餐饮有限公司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四川省成都市锦江区总府路2号1栋21层6号附20号(自编号)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成都市锦江区莲桂南路48号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陈艳</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陈艳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饶家祥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eastAsia="宋体"/>
                <w:b/>
                <w:color w:val="000000" w:themeColor="text1"/>
                <w:sz w:val="20"/>
                <w:szCs w:val="20"/>
                <w:u w:val="single"/>
                <w:lang w:eastAsia="zh-CN"/>
              </w:rPr>
            </w:pPr>
            <w:bookmarkStart w:id="18" w:name="审核范围"/>
            <w:r>
              <w:rPr>
                <w:rFonts w:ascii="宋体" w:hAnsi="宋体"/>
                <w:b/>
                <w:color w:val="000000" w:themeColor="text1"/>
                <w:sz w:val="20"/>
                <w:szCs w:val="20"/>
              </w:rPr>
              <w:t>Q：许可范围内的预包装食品（不含冷藏冷冻食品）的销售</w:t>
            </w:r>
            <w:r>
              <w:rPr>
                <w:rFonts w:hint="eastAsia" w:ascii="宋体" w:hAnsi="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E：许可范围内的预包装食品（不含冷藏冷冻食品）的销售所涉及场所的相关环境管理活动</w:t>
            </w:r>
            <w:r>
              <w:rPr>
                <w:rFonts w:hint="eastAsia" w:ascii="宋体" w:hAnsi="宋体"/>
                <w:b/>
                <w:color w:val="000000" w:themeColor="text1"/>
                <w:sz w:val="20"/>
                <w:szCs w:val="20"/>
                <w:lang w:eastAsia="zh-CN"/>
              </w:rPr>
              <w:t>。</w:t>
            </w:r>
          </w:p>
          <w:p>
            <w:pPr>
              <w:spacing w:line="320" w:lineRule="exact"/>
              <w:rPr>
                <w:rFonts w:hint="eastAsia" w:ascii="宋体" w:hAnsi="宋体" w:eastAsia="宋体"/>
                <w:b/>
                <w:color w:val="000000" w:themeColor="text1"/>
                <w:sz w:val="20"/>
                <w:szCs w:val="20"/>
                <w:lang w:eastAsia="zh-CN"/>
              </w:rPr>
            </w:pPr>
            <w:r>
              <w:rPr>
                <w:rFonts w:ascii="宋体" w:hAnsi="宋体"/>
                <w:b/>
                <w:color w:val="000000" w:themeColor="text1"/>
                <w:sz w:val="20"/>
                <w:szCs w:val="20"/>
              </w:rPr>
              <w:t>O：许可范围内的预包装食品（不含冷藏冷冻食品）的销售所涉及场所的相关职业健康安全管理活动</w:t>
            </w:r>
            <w:bookmarkEnd w:id="18"/>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Q：29.07.09</w:t>
            </w:r>
          </w:p>
          <w:p>
            <w:pPr>
              <w:spacing w:line="320" w:lineRule="exact"/>
              <w:rPr>
                <w:rFonts w:ascii="宋体" w:hAnsi="宋体"/>
                <w:b/>
                <w:color w:val="000000" w:themeColor="text1"/>
                <w:sz w:val="20"/>
                <w:szCs w:val="20"/>
              </w:rPr>
            </w:pPr>
            <w:r>
              <w:rPr>
                <w:rFonts w:ascii="宋体" w:hAnsi="宋体"/>
                <w:b/>
                <w:color w:val="000000" w:themeColor="text1"/>
                <w:sz w:val="20"/>
                <w:szCs w:val="20"/>
              </w:rPr>
              <w:t>E：29.07.09</w:t>
            </w:r>
          </w:p>
          <w:p>
            <w:pPr>
              <w:spacing w:line="320" w:lineRule="exact"/>
              <w:rPr>
                <w:rFonts w:ascii="宋体" w:hAnsi="宋体"/>
                <w:b/>
                <w:color w:val="000000" w:themeColor="text1"/>
                <w:sz w:val="20"/>
                <w:szCs w:val="20"/>
              </w:rPr>
            </w:pPr>
            <w:r>
              <w:rPr>
                <w:rFonts w:ascii="宋体" w:hAnsi="宋体"/>
                <w:b/>
                <w:color w:val="000000" w:themeColor="text1"/>
                <w:sz w:val="20"/>
                <w:szCs w:val="20"/>
              </w:rPr>
              <w:t>O：29.07.09</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行政部（含财务部）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eastAsia="宋体"/>
                <w:b/>
                <w:color w:val="000000" w:themeColor="text1"/>
                <w:sz w:val="20"/>
                <w:szCs w:val="20"/>
                <w:lang w:eastAsia="zh-CN"/>
              </w:rPr>
              <w:t>销售部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rFonts w:hint="eastAsia"/>
                <w:color w:val="000000"/>
                <w:lang w:eastAsia="zh-CN"/>
              </w:rPr>
            </w:pPr>
            <w:r>
              <w:rPr>
                <w:rFonts w:hint="eastAsia" w:ascii="宋体" w:hAnsi="宋体"/>
                <w:b/>
                <w:color w:val="000000" w:themeColor="text1"/>
                <w:spacing w:val="-2"/>
                <w:sz w:val="20"/>
                <w:szCs w:val="20"/>
                <w:lang w:eastAsia="zh-CN"/>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rFonts w:hint="eastAsia"/>
                <w:color w:val="000000"/>
                <w:lang w:eastAsia="zh-CN"/>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许可范围内的预包装食品（不含冷藏冷冻食品）的销售</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wordWrap w:val="0"/>
              <w:overflowPunct w:val="0"/>
              <w:autoSpaceDE w:val="0"/>
              <w:autoSpaceDN w:val="0"/>
              <w:rPr>
                <w:b/>
                <w:color w:val="000000" w:themeColor="text1"/>
                <w:sz w:val="20"/>
                <w:szCs w:val="20"/>
              </w:rPr>
            </w:pPr>
            <w:r>
              <w:rPr>
                <w:rFonts w:hint="eastAsia" w:ascii="宋体" w:hAnsi="宋体" w:cs="宋体"/>
                <w:color w:val="000000"/>
                <w:szCs w:val="21"/>
                <w:highlight w:val="none"/>
              </w:rPr>
              <w:t>GB/T 1354-2018大米 、 GB 2716-2018 食品安全国家标准 植物油、 LS/T 3212-2014 挂面、 GB 2721-2015 食品安全国家标准食用盐</w:t>
            </w:r>
            <w:r>
              <w:rPr>
                <w:rFonts w:hint="eastAsia" w:ascii="宋体" w:hAnsi="宋体"/>
                <w:sz w:val="21"/>
                <w:szCs w:val="21"/>
                <w:lang w:val="en-US" w:eastAsia="zh-CN"/>
              </w:rPr>
              <w:t>等标准</w:t>
            </w:r>
            <w:r>
              <w:rPr>
                <w:rFonts w:hint="eastAsia"/>
                <w:szCs w:val="21"/>
              </w:rPr>
              <w:t>和合同协议。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rFonts w:hint="eastAsia" w:ascii="Times New Roman" w:hAnsi="Times New Roman" w:eastAsia="宋体" w:cs="Times New Roman"/>
          <w:b/>
          <w:color w:val="FF0000"/>
          <w:spacing w:val="-10"/>
          <w:szCs w:val="21"/>
          <w:lang w:eastAsia="zh-CN"/>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日至2020年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w:t>
      </w:r>
      <w:r>
        <w:rPr>
          <w:rFonts w:hint="eastAsia" w:ascii="Times New Roman" w:hAnsi="Times New Roman" w:eastAsia="宋体" w:cs="Times New Roman"/>
          <w:b/>
          <w:color w:val="FF0000"/>
          <w:spacing w:val="-10"/>
          <w:szCs w:val="21"/>
          <w:lang w:val="en-US" w:eastAsia="zh-CN"/>
        </w:rPr>
        <w:t>6</w:t>
      </w:r>
      <w:r>
        <w:rPr>
          <w:rFonts w:hint="eastAsia" w:ascii="Times New Roman" w:hAnsi="Times New Roman" w:eastAsia="宋体" w:cs="Times New Roman"/>
          <w:b/>
          <w:color w:val="FF0000"/>
          <w:spacing w:val="-10"/>
          <w:szCs w:val="21"/>
          <w:lang w:eastAsia="zh-CN"/>
        </w:rPr>
        <w:t>月</w:t>
      </w:r>
      <w:r>
        <w:rPr>
          <w:rFonts w:hint="eastAsia" w:ascii="Times New Roman" w:hAnsi="Times New Roman" w:eastAsia="宋体" w:cs="Times New Roman"/>
          <w:b/>
          <w:color w:val="FF0000"/>
          <w:spacing w:val="-10"/>
          <w:szCs w:val="21"/>
          <w:lang w:val="en-US" w:eastAsia="zh-CN"/>
        </w:rPr>
        <w:t>3</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至2020年12月27日）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hint="default" w:ascii="宋体" w:hAnsi="宋体" w:eastAsia="宋体"/>
                <w:b/>
                <w:szCs w:val="21"/>
                <w:lang w:val="en-US" w:eastAsia="zh-CN"/>
              </w:rPr>
            </w:pPr>
            <w:r>
              <w:rPr>
                <w:rFonts w:hint="eastAsia"/>
                <w:szCs w:val="21"/>
              </w:rPr>
              <w:t>成都绿净鲜餐饮有限公司成立于2017年11月27日，</w:t>
            </w:r>
            <w:r>
              <w:rPr>
                <w:rFonts w:hint="eastAsia"/>
                <w:szCs w:val="21"/>
                <w:lang w:eastAsia="zh-CN"/>
              </w:rPr>
              <w:t>从事</w:t>
            </w:r>
            <w:r>
              <w:rPr>
                <w:rFonts w:hint="eastAsia" w:ascii="宋体" w:hAnsi="宋体"/>
                <w:szCs w:val="21"/>
              </w:rPr>
              <w:t>许可范围内的预包装食品（不含冷藏冷冻食品）的销售</w:t>
            </w:r>
            <w:r>
              <w:rPr>
                <w:rFonts w:hint="eastAsia" w:ascii="宋体" w:hAnsi="宋体"/>
                <w:szCs w:val="21"/>
                <w:lang w:eastAsia="zh-CN"/>
              </w:rPr>
              <w:t>，主要销售</w:t>
            </w:r>
            <w:r>
              <w:rPr>
                <w:rFonts w:hint="eastAsia" w:ascii="宋体" w:cs="宋体"/>
                <w:color w:val="000000"/>
                <w:szCs w:val="21"/>
              </w:rPr>
              <w:t>食用油、大米、挂面</w:t>
            </w:r>
            <w:r>
              <w:rPr>
                <w:rFonts w:hint="eastAsia" w:ascii="宋体" w:cs="宋体"/>
                <w:color w:val="000000"/>
                <w:szCs w:val="21"/>
                <w:lang w:eastAsia="zh-CN"/>
              </w:rPr>
              <w:t>、盐等</w:t>
            </w:r>
            <w:r>
              <w:rPr>
                <w:rFonts w:hint="eastAsia"/>
                <w:szCs w:val="21"/>
              </w:rPr>
              <w:t>产品。现有员工</w:t>
            </w:r>
            <w:r>
              <w:rPr>
                <w:rFonts w:hint="eastAsia"/>
                <w:szCs w:val="21"/>
                <w:lang w:val="en-US" w:eastAsia="zh-CN"/>
              </w:rPr>
              <w:t>15</w:t>
            </w:r>
            <w:r>
              <w:rPr>
                <w:rFonts w:hint="eastAsia"/>
                <w:szCs w:val="21"/>
              </w:rPr>
              <w:t>人，目前经营情况良好。</w:t>
            </w:r>
            <w:r>
              <w:rPr>
                <w:rFonts w:hint="eastAsia" w:ascii="宋体" w:hAnsi="宋体"/>
                <w:szCs w:val="21"/>
              </w:rPr>
              <w:t>组织对内外部因素、相关方需求和期望进行了充分的识别，策划和实施有效。</w:t>
            </w:r>
            <w:r>
              <w:rPr>
                <w:rFonts w:hint="eastAsia" w:ascii="宋体" w:hAnsi="宋体"/>
                <w:sz w:val="21"/>
                <w:szCs w:val="21"/>
                <w:highlight w:val="none"/>
              </w:rPr>
              <w:t>公司销售的产品按相关法律法规和客户要求进行采购和配送，模式固定，暂不涉及设计开发</w:t>
            </w:r>
            <w:r>
              <w:rPr>
                <w:rFonts w:hint="eastAsia" w:ascii="宋体" w:hAnsi="宋体"/>
                <w:szCs w:val="21"/>
                <w:lang w:eastAsia="zh-CN"/>
              </w:rPr>
              <w:t>，故</w:t>
            </w:r>
            <w:r>
              <w:rPr>
                <w:rFonts w:hint="eastAsia" w:ascii="宋体" w:hAnsi="宋体"/>
                <w:szCs w:val="21"/>
                <w:lang w:val="en-US" w:eastAsia="zh-CN"/>
              </w:rPr>
              <w:t>Q的8.3条款不适用。</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质量方针：</w:t>
            </w:r>
          </w:p>
          <w:p>
            <w:pPr>
              <w:tabs>
                <w:tab w:val="left" w:pos="3731"/>
              </w:tabs>
              <w:adjustRightInd w:val="0"/>
              <w:snapToGrid w:val="0"/>
              <w:spacing w:line="312" w:lineRule="auto"/>
              <w:ind w:firstLine="371" w:firstLineChars="177"/>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rPr>
              <w:t> </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精益求精 创“绿净鲜”新优势</w:t>
            </w:r>
            <w:r>
              <w:rPr>
                <w:rFonts w:hint="eastAsia" w:asciiTheme="minorEastAsia" w:hAnsiTheme="minorEastAsia" w:eastAsiaTheme="minorEastAsia" w:cstheme="minorEastAsia"/>
                <w:b w:val="0"/>
                <w:bCs/>
                <w:color w:val="000000"/>
                <w:sz w:val="21"/>
                <w:szCs w:val="21"/>
                <w:lang w:eastAsia="zh-CN"/>
              </w:rPr>
              <w:t>”。</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环境方针： </w:t>
            </w:r>
          </w:p>
          <w:p>
            <w:pPr>
              <w:tabs>
                <w:tab w:val="left" w:pos="3731"/>
              </w:tabs>
              <w:adjustRightInd w:val="0"/>
              <w:snapToGrid w:val="0"/>
              <w:spacing w:line="312" w:lineRule="auto"/>
              <w:ind w:firstLine="495" w:firstLineChars="236"/>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坚持走可持续发展之路，倡导绿色环保思想，遵守法律法规，从产品销售到服务的全过程中，实行污染预防和持续改进</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职业健康安全管理方针：</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b w:val="0"/>
                <w:bCs/>
                <w:color w:val="000000"/>
                <w:sz w:val="21"/>
                <w:szCs w:val="21"/>
              </w:rPr>
              <w:t xml:space="preserve">   </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保障健康、安全销售、以人为本、永续发展、遵守法规、持续改进</w:t>
            </w:r>
            <w:r>
              <w:rPr>
                <w:rFonts w:hint="eastAsia" w:asciiTheme="minorEastAsia" w:hAnsiTheme="minorEastAsia" w:eastAsiaTheme="minorEastAsia" w:cstheme="minorEastAsia"/>
                <w:b w:val="0"/>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hint="eastAsia" w:ascii="宋体" w:hAnsi="宋体" w:eastAsia="宋体"/>
                <w:b/>
                <w:szCs w:val="21"/>
                <w:lang w:eastAsia="zh-CN"/>
              </w:rPr>
            </w:pPr>
            <w:r>
              <w:rPr>
                <w:rFonts w:ascii="宋体" w:hAnsi="宋体"/>
                <w:b/>
                <w:szCs w:val="21"/>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sz w:val="21"/>
                <w:szCs w:val="21"/>
                <w:highlight w:val="none"/>
                <w:u w:val="single"/>
              </w:rPr>
              <w:t>公司销售的产品按相关法律法规和客户要求进行采购和配送，模式固定，暂不涉及设计开发。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auto"/>
                <w:szCs w:val="21"/>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b/>
                <w:color w:val="auto"/>
                <w:szCs w:val="21"/>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火灾、触电等</w:t>
            </w:r>
            <w:r>
              <w:rPr>
                <w:rFonts w:hint="eastAsia" w:ascii="宋体" w:hAnsi="宋体" w:cs="宋体"/>
                <w:color w:val="auto"/>
                <w:szCs w:val="21"/>
              </w:rPr>
              <w:t>重要危险源，与之相关的过程有</w:t>
            </w:r>
            <w:r>
              <w:rPr>
                <w:rFonts w:hint="eastAsia" w:ascii="宋体" w:hAnsi="宋体" w:cs="宋体"/>
                <w:color w:val="auto"/>
                <w:szCs w:val="21"/>
                <w:lang w:eastAsia="zh-CN"/>
              </w:rPr>
              <w:t>采购</w:t>
            </w:r>
            <w:r>
              <w:rPr>
                <w:rFonts w:hint="eastAsia" w:ascii="宋体" w:hAnsi="宋体" w:cs="宋体"/>
                <w:color w:val="auto"/>
                <w:szCs w:val="21"/>
              </w:rPr>
              <w:t>、</w:t>
            </w:r>
            <w:r>
              <w:rPr>
                <w:rFonts w:hint="eastAsia" w:ascii="宋体" w:hAnsi="宋体" w:cs="宋体"/>
                <w:color w:val="auto"/>
                <w:szCs w:val="21"/>
                <w:lang w:eastAsia="zh-CN"/>
              </w:rPr>
              <w:t>销售</w:t>
            </w:r>
            <w:r>
              <w:rPr>
                <w:rFonts w:hint="eastAsia" w:ascii="宋体" w:hAnsi="宋体" w:cs="宋体"/>
                <w:color w:val="auto"/>
                <w:szCs w:val="21"/>
              </w:rPr>
              <w:t>、</w:t>
            </w:r>
            <w:r>
              <w:rPr>
                <w:rFonts w:hint="eastAsia" w:ascii="宋体" w:hAnsi="宋体" w:cs="宋体"/>
                <w:color w:val="auto"/>
                <w:szCs w:val="21"/>
                <w:lang w:eastAsia="zh-CN"/>
              </w:rPr>
              <w:t>运输</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环境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职业健康安全目标</w:t>
            </w:r>
            <w:r>
              <w:rPr>
                <w:rFonts w:hint="eastAsia" w:asciiTheme="minorEastAsia" w:hAnsiTheme="minorEastAsia" w:eastAsiaTheme="minorEastAsia" w:cstheme="minorEastAsia"/>
                <w:szCs w:val="21"/>
                <w:lang w:eastAsia="zh-CN"/>
              </w:rPr>
              <w:t>：</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1) 产品交付合格率100%；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2) 顾客满意率≥9</w:t>
            </w:r>
            <w:r>
              <w:rPr>
                <w:rFonts w:ascii="宋体" w:hAnsi="宋体"/>
                <w:color w:val="000000"/>
                <w:sz w:val="21"/>
                <w:szCs w:val="21"/>
              </w:rPr>
              <w:t>6</w:t>
            </w:r>
            <w:r>
              <w:rPr>
                <w:rFonts w:hint="eastAsia" w:ascii="宋体" w:hAnsi="宋体"/>
                <w:color w:val="000000"/>
                <w:sz w:val="21"/>
                <w:szCs w:val="21"/>
              </w:rPr>
              <w:t>分； </w:t>
            </w:r>
          </w:p>
          <w:p>
            <w:pPr>
              <w:tabs>
                <w:tab w:val="left" w:pos="3731"/>
              </w:tabs>
              <w:adjustRightInd w:val="0"/>
              <w:snapToGrid w:val="0"/>
              <w:spacing w:line="312" w:lineRule="auto"/>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 合同按时完成率100%；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4) 办公、生活废弃物分类收集处理率100%；</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5) 重大安全事故和伤亡事故为0；</w:t>
            </w:r>
          </w:p>
          <w:p>
            <w:pPr>
              <w:tabs>
                <w:tab w:val="left" w:pos="3731"/>
              </w:tabs>
              <w:adjustRightInd w:val="0"/>
              <w:snapToGrid w:val="0"/>
              <w:spacing w:line="312" w:lineRule="auto"/>
              <w:rPr>
                <w:rFonts w:ascii="宋体" w:hAnsi="宋体"/>
                <w:b/>
                <w:szCs w:val="21"/>
              </w:rPr>
            </w:pPr>
            <w:r>
              <w:rPr>
                <w:rFonts w:hint="eastAsia" w:ascii="宋体" w:hAnsi="宋体"/>
                <w:color w:val="000000"/>
                <w:sz w:val="21"/>
                <w:szCs w:val="21"/>
                <w:lang w:val="en-US" w:eastAsia="zh-CN"/>
              </w:rPr>
              <w:t>6</w:t>
            </w:r>
            <w:r>
              <w:rPr>
                <w:rFonts w:hint="eastAsia" w:ascii="宋体" w:hAnsi="宋体"/>
                <w:color w:val="000000"/>
                <w:sz w:val="21"/>
                <w:szCs w:val="21"/>
              </w:rPr>
              <w:t>) 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20</w:t>
            </w:r>
            <w:r>
              <w:rPr>
                <w:rFonts w:hint="eastAsia" w:ascii="宋体" w:hAnsi="宋体" w:cs="宋体"/>
                <w:szCs w:val="21"/>
              </w:rPr>
              <w:t>年1月</w:t>
            </w:r>
            <w:r>
              <w:rPr>
                <w:rFonts w:hint="eastAsia" w:ascii="宋体" w:hAnsi="宋体" w:cs="宋体"/>
                <w:szCs w:val="21"/>
                <w:lang w:val="en-US" w:eastAsia="zh-CN"/>
              </w:rPr>
              <w:t>5</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320" w:lineRule="exact"/>
              <w:rPr>
                <w:rFonts w:ascii="宋体" w:hAnsi="宋体"/>
                <w:b/>
                <w:szCs w:val="21"/>
              </w:rPr>
            </w:pPr>
            <w:r>
              <w:rPr>
                <w:rFonts w:hint="eastAsia" w:ascii="宋体" w:hAnsi="宋体" w:cs="宋体"/>
                <w:color w:val="auto"/>
                <w:szCs w:val="21"/>
                <w:highlight w:val="none"/>
              </w:rPr>
              <w:t>办公面积</w:t>
            </w:r>
            <w:r>
              <w:rPr>
                <w:rFonts w:hint="eastAsia" w:ascii="宋体" w:hAnsi="宋体" w:cs="宋体"/>
                <w:color w:val="auto"/>
                <w:szCs w:val="21"/>
                <w:highlight w:val="none"/>
                <w:lang w:val="en-US" w:eastAsia="zh-CN"/>
              </w:rPr>
              <w:t>225</w:t>
            </w:r>
            <w:r>
              <w:rPr>
                <w:rFonts w:hint="eastAsia" w:ascii="宋体" w:hAnsi="宋体" w:cs="宋体"/>
                <w:color w:val="auto"/>
                <w:szCs w:val="21"/>
                <w:highlight w:val="none"/>
              </w:rPr>
              <w:t>平方左右，</w:t>
            </w:r>
            <w:r>
              <w:rPr>
                <w:rFonts w:hint="eastAsia" w:ascii="宋体" w:hAnsi="宋体"/>
                <w:sz w:val="21"/>
                <w:szCs w:val="21"/>
                <w:highlight w:val="none"/>
              </w:rPr>
              <w:t>公司采取开票销售的方式进行，</w:t>
            </w:r>
            <w:r>
              <w:rPr>
                <w:rFonts w:hint="eastAsia" w:ascii="宋体" w:hAnsi="宋体"/>
                <w:sz w:val="21"/>
                <w:szCs w:val="21"/>
                <w:highlight w:val="none"/>
                <w:lang w:eastAsia="zh-CN"/>
              </w:rPr>
              <w:t>销售商品由供应商</w:t>
            </w:r>
            <w:r>
              <w:rPr>
                <w:rFonts w:hint="eastAsia" w:ascii="宋体" w:hAnsi="宋体"/>
                <w:sz w:val="21"/>
                <w:szCs w:val="21"/>
                <w:highlight w:val="none"/>
              </w:rPr>
              <w:t>直接交付到</w:t>
            </w:r>
            <w:r>
              <w:rPr>
                <w:rFonts w:hint="eastAsia" w:ascii="宋体" w:hAnsi="宋体"/>
                <w:sz w:val="21"/>
                <w:szCs w:val="21"/>
                <w:highlight w:val="none"/>
                <w:lang w:eastAsia="zh-CN"/>
              </w:rPr>
              <w:t>顾客</w:t>
            </w:r>
            <w:r>
              <w:rPr>
                <w:rFonts w:hint="eastAsia" w:ascii="宋体" w:hAnsi="宋体"/>
                <w:sz w:val="21"/>
                <w:szCs w:val="21"/>
                <w:highlight w:val="none"/>
              </w:rPr>
              <w:t>，未设置库房等周转环节</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color w:val="auto"/>
                <w:szCs w:val="21"/>
              </w:rPr>
              <w:t>电脑</w:t>
            </w:r>
            <w:r>
              <w:rPr>
                <w:rFonts w:hint="eastAsia"/>
                <w:color w:val="auto"/>
                <w:szCs w:val="21"/>
                <w:lang w:eastAsia="zh-CN"/>
              </w:rPr>
              <w:t>及</w:t>
            </w:r>
            <w:r>
              <w:rPr>
                <w:rFonts w:hint="eastAsia"/>
                <w:color w:val="auto"/>
                <w:szCs w:val="21"/>
              </w:rPr>
              <w:t>办公设备</w:t>
            </w:r>
            <w:r>
              <w:rPr>
                <w:rStyle w:val="18"/>
                <w:rFonts w:hint="eastAsia" w:ascii="宋体" w:hAnsi="宋体"/>
                <w:color w:val="auto"/>
                <w:szCs w:val="21"/>
              </w:rPr>
              <w:t>等</w:t>
            </w:r>
            <w:r>
              <w:rPr>
                <w:rFonts w:hint="eastAsia" w:ascii="宋体" w:hAnsi="宋体" w:cs="宋体"/>
                <w:color w:val="auto"/>
                <w:szCs w:val="21"/>
              </w:rPr>
              <w:t>，可以</w:t>
            </w:r>
            <w:r>
              <w:rPr>
                <w:rFonts w:hint="eastAsia" w:ascii="宋体" w:hAnsi="宋体" w:cs="宋体"/>
                <w:color w:val="auto"/>
                <w:szCs w:val="21"/>
                <w:lang w:eastAsia="zh-CN"/>
              </w:rPr>
              <w:t>满足</w:t>
            </w:r>
            <w:r>
              <w:rPr>
                <w:sz w:val="20"/>
              </w:rPr>
              <w:t>许可范围内的预包装食品（不含冷藏冷冻食品）的销售</w:t>
            </w:r>
            <w:r>
              <w:rPr>
                <w:rFonts w:hint="eastAsia" w:ascii="宋体" w:hAnsi="宋体" w:cs="宋体"/>
                <w:color w:val="auto"/>
                <w:szCs w:val="21"/>
              </w:rPr>
              <w:t>。特种设备：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b/>
                <w:szCs w:val="21"/>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color w:val="auto"/>
                <w:szCs w:val="21"/>
              </w:rPr>
              <w:t>组织重要环境因素为潜在火灾、固废排放，需要应对的风险和机遇相关的过程为</w:t>
            </w:r>
            <w:r>
              <w:rPr>
                <w:rFonts w:hint="eastAsia" w:asciiTheme="minorEastAsia" w:hAnsiTheme="minorEastAsia" w:eastAsiaTheme="minorEastAsia"/>
                <w:bCs/>
                <w:iCs/>
                <w:color w:val="auto"/>
                <w:szCs w:val="21"/>
                <w:lang w:eastAsia="zh-CN"/>
              </w:rPr>
              <w:t>设备销售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运输</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rPr>
              <w:t>等</w:t>
            </w:r>
            <w:r>
              <w:rPr>
                <w:rFonts w:hint="eastAsia" w:asciiTheme="minorEastAsia" w:hAnsiTheme="minorEastAsia" w:eastAsiaTheme="minorEastAsia"/>
                <w:bCs/>
                <w:iCs/>
                <w:color w:val="auto"/>
                <w:szCs w:val="21"/>
                <w:highlight w:val="none"/>
                <w:lang w:eastAsia="zh-CN"/>
              </w:rPr>
              <w:t>）</w:t>
            </w:r>
            <w:r>
              <w:rPr>
                <w:rFonts w:hint="eastAsia" w:asciiTheme="minorEastAsia" w:hAnsiTheme="minorEastAsia" w:eastAsiaTheme="minorEastAsia"/>
                <w:bCs/>
                <w:iCs/>
                <w:color w:val="auto"/>
                <w:szCs w:val="21"/>
                <w:highlight w:val="none"/>
              </w:rPr>
              <w:t>），与之相关的过程有</w:t>
            </w:r>
            <w:r>
              <w:rPr>
                <w:rFonts w:hint="eastAsia" w:asciiTheme="minorEastAsia" w:hAnsiTheme="minorEastAsia" w:eastAsiaTheme="minorEastAsia"/>
                <w:bCs/>
                <w:iCs/>
                <w:color w:val="auto"/>
                <w:szCs w:val="21"/>
                <w:highlight w:val="none"/>
                <w:lang w:eastAsia="zh-CN"/>
              </w:rPr>
              <w:t>合同评审、商品采购、销售</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w:t>
            </w:r>
            <w:r>
              <w:rPr>
                <w:rFonts w:hint="eastAsia" w:ascii="宋体" w:hAnsi="宋体"/>
                <w:b/>
                <w:color w:val="FF0000"/>
                <w:szCs w:val="21"/>
              </w:rPr>
              <w:t xml:space="preserve"> </w:t>
            </w:r>
            <w:r>
              <w:rPr>
                <w:rFonts w:hint="eastAsia" w:ascii="宋体" w:hAnsi="宋体"/>
                <w:b/>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月-2020年</w:t>
            </w:r>
            <w:r>
              <w:rPr>
                <w:rFonts w:hint="eastAsia" w:ascii="宋体" w:hAnsi="宋体" w:cs="宋体"/>
                <w:color w:val="auto"/>
                <w:szCs w:val="21"/>
                <w:lang w:val="en-US" w:eastAsia="zh-CN"/>
              </w:rPr>
              <w:t>5</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满意度调查按规定实施，2020年</w:t>
            </w:r>
            <w:r>
              <w:rPr>
                <w:rFonts w:hint="eastAsia" w:ascii="宋体" w:hAnsi="宋体" w:cs="宋体"/>
                <w:color w:val="auto"/>
                <w:szCs w:val="21"/>
                <w:lang w:val="en-US" w:eastAsia="zh-CN"/>
              </w:rPr>
              <w:t>2</w:t>
            </w:r>
            <w:r>
              <w:rPr>
                <w:rFonts w:hint="eastAsia" w:ascii="宋体" w:hAnsi="宋体" w:cs="宋体"/>
                <w:color w:val="auto"/>
                <w:szCs w:val="21"/>
              </w:rPr>
              <w:t>月实施，满意度评价9</w:t>
            </w:r>
            <w:r>
              <w:rPr>
                <w:rFonts w:hint="eastAsia" w:ascii="宋体" w:hAnsi="宋体" w:cs="宋体"/>
                <w:color w:val="auto"/>
                <w:szCs w:val="21"/>
                <w:lang w:val="en-US" w:eastAsia="zh-CN"/>
              </w:rPr>
              <w:t>6</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szCs w:val="21"/>
                <w:lang w:val="en-US" w:eastAsia="zh-CN"/>
              </w:rPr>
              <w:t>-6日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eastAsia="zh-CN"/>
              </w:rPr>
              <w:t>销售</w:t>
            </w:r>
            <w:r>
              <w:rPr>
                <w:rFonts w:hint="eastAsia" w:ascii="宋体" w:hAnsi="宋体"/>
                <w:szCs w:val="21"/>
              </w:rPr>
              <w:t>部E/S8.2条款未能提供应急预案记录，</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b/>
                <w:color w:val="auto"/>
                <w:szCs w:val="21"/>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b/>
                <w:color w:val="auto"/>
                <w:szCs w:val="21"/>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color w:val="auto"/>
                <w:szCs w:val="21"/>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rPr>
                <w:rFonts w:hint="eastAsia"/>
              </w:rPr>
              <w:t>3. 一阶段提出问题的整改情况?</w:t>
            </w:r>
          </w:p>
          <w:p>
            <w:pPr>
              <w:spacing w:line="240" w:lineRule="exact"/>
              <w:ind w:left="-105" w:leftChars="-50" w:firstLine="405" w:firstLineChars="252"/>
              <w:rPr>
                <w:rFonts w:hint="eastAsia" w:ascii="Times New Roman" w:hAnsi="Times New Roman" w:eastAsia="宋体" w:cs="Times New Roman"/>
                <w:b/>
                <w:bCs/>
                <w:color w:val="000000" w:themeColor="text1"/>
                <w:spacing w:val="-20"/>
                <w:kern w:val="2"/>
                <w:sz w:val="20"/>
                <w:szCs w:val="20"/>
                <w:lang w:val="en-US" w:eastAsia="zh-CN" w:bidi="ar-SA"/>
              </w:rPr>
            </w:pPr>
            <w:r>
              <w:rPr>
                <w:rFonts w:hint="eastAsia" w:ascii="Times New Roman" w:hAnsi="Times New Roman" w:eastAsia="宋体" w:cs="Times New Roman"/>
                <w:b/>
                <w:bCs/>
                <w:color w:val="000000" w:themeColor="text1"/>
                <w:spacing w:val="-20"/>
                <w:kern w:val="2"/>
                <w:sz w:val="20"/>
                <w:szCs w:val="20"/>
                <w:lang w:val="en-US" w:eastAsia="zh-CN" w:bidi="ar-SA"/>
              </w:rPr>
              <w:t>未整改到位改，二阶段已提出整改。</w:t>
            </w:r>
          </w:p>
          <w:p>
            <w:pPr>
              <w:pStyle w:val="2"/>
              <w:rPr>
                <w:rFonts w:hint="eastAsia"/>
                <w:lang w:eastAsia="zh-CN"/>
              </w:rPr>
            </w:pPr>
            <w:r>
              <w:rPr>
                <w:rFonts w:hint="eastAsia" w:ascii="Times New Roman" w:hAnsi="Times New Roman" w:eastAsia="宋体" w:cs="Times New Roman"/>
                <w:b/>
                <w:bCs/>
                <w:color w:val="FF0000"/>
                <w:spacing w:val="-20"/>
                <w:kern w:val="2"/>
                <w:sz w:val="20"/>
                <w:szCs w:val="20"/>
                <w:lang w:val="en-US" w:eastAsia="zh-CN" w:bidi="ar-SA"/>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本次审核共开具不符合项报告1项；其中</w:t>
      </w:r>
      <w:r>
        <w:rPr>
          <w:b/>
          <w:color w:val="auto"/>
          <w:highlight w:val="none"/>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highlight w:val="none"/>
        </w:rPr>
        <w:t>严重不符合 0项，一般不符合 1项，观察项</w:t>
      </w:r>
      <w:r>
        <w:rPr>
          <w:rFonts w:hint="eastAsia"/>
          <w:b/>
          <w:color w:val="auto"/>
          <w:highlight w:val="none"/>
          <w:lang w:val="en-US" w:eastAsia="zh-CN"/>
        </w:rPr>
        <w:t>0</w:t>
      </w:r>
      <w:r>
        <w:rPr>
          <w:rFonts w:hint="eastAsia"/>
          <w:b/>
          <w:color w:val="auto"/>
          <w:highlight w:val="none"/>
        </w:rPr>
        <w:t>项，分布在</w:t>
      </w:r>
      <w:r>
        <w:rPr>
          <w:rFonts w:hint="eastAsia"/>
          <w:b/>
          <w:color w:val="auto"/>
          <w:highlight w:val="none"/>
          <w:lang w:eastAsia="zh-CN"/>
        </w:rPr>
        <w:t>销售部</w:t>
      </w:r>
      <w:r>
        <w:rPr>
          <w:rFonts w:hint="eastAsia"/>
          <w:b/>
          <w:color w:val="auto"/>
          <w:highlight w:val="none"/>
        </w:rPr>
        <w:t>部门</w:t>
      </w:r>
      <w:r>
        <w:rPr>
          <w:rFonts w:hint="eastAsia"/>
          <w:b/>
          <w:color w:val="auto"/>
          <w:highlight w:val="none"/>
          <w:lang w:val="en-US" w:eastAsia="zh-CN"/>
        </w:rPr>
        <w:t>Q8.5.1</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080" w:type="dxa"/>
          </w:tcPr>
          <w:p>
            <w:pPr>
              <w:rPr>
                <w:b/>
                <w:color w:val="000000" w:themeColor="text1"/>
              </w:rPr>
            </w:pPr>
            <w:r>
              <w:rPr>
                <w:rFonts w:hint="eastAsia"/>
                <w:b/>
                <w:color w:val="000000" w:themeColor="text1"/>
              </w:rPr>
              <w:t>2.对审核范围适宜性结论</w:t>
            </w:r>
          </w:p>
          <w:p>
            <w:pPr>
              <w:ind w:left="-105" w:leftChars="-50"/>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t>□</w:t>
            </w:r>
            <w:r>
              <w:rPr>
                <w:rFonts w:hint="eastAsia"/>
                <w:b/>
                <w:color w:val="000000" w:themeColor="text1"/>
              </w:rPr>
              <w:t>审核范围变更</w:t>
            </w:r>
            <w:r>
              <w:rPr>
                <w:rFonts w:hint="eastAsia"/>
                <w:b/>
                <w:color w:val="000000" w:themeColor="text1"/>
                <w:lang w:eastAsia="zh-CN"/>
              </w:rPr>
              <w:t>为</w:t>
            </w:r>
            <w:r>
              <w:rPr>
                <w:rFonts w:hint="eastAsia"/>
                <w:b/>
                <w:color w:val="000000" w:themeColor="text1"/>
              </w:rPr>
              <w:t>，</w:t>
            </w:r>
          </w:p>
          <w:p>
            <w:pPr>
              <w:spacing w:line="300" w:lineRule="auto"/>
              <w:rPr>
                <w:rFonts w:ascii="宋体" w:hAnsi="宋体"/>
                <w:szCs w:val="21"/>
              </w:rPr>
            </w:pPr>
            <w:r>
              <w:rPr>
                <w:rFonts w:ascii="宋体" w:hAnsi="宋体"/>
                <w:b/>
                <w:color w:val="000000"/>
                <w:sz w:val="20"/>
              </w:rPr>
              <w:t>QMS:</w:t>
            </w:r>
            <w:r>
              <w:rPr>
                <w:rFonts w:hint="eastAsia" w:ascii="宋体" w:hAnsi="宋体"/>
                <w:szCs w:val="21"/>
              </w:rPr>
              <w:t>许可范围内的预包装食品（不含冷藏冷冻食品）的销售。</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许可范围内的预包装食品（不含冷藏冷冻食品）的销售所涉及场所的相关环境管理活动。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许可范围内的预包装食品（不含冷藏冷冻食品）的销售所涉及场所的相关职业健康安全管理活动 。</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1" w:leftChars="-405" w:hanging="851" w:hangingChars="326"/>
        <w:rPr>
          <w:rFonts w:hint="eastAsia" w:eastAsia="宋体"/>
          <w:b/>
          <w:color w:val="000000" w:themeColor="text1"/>
          <w:sz w:val="26"/>
          <w:szCs w:val="26"/>
          <w:lang w:eastAsia="zh-CN"/>
        </w:rPr>
      </w:pP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27872" behindDoc="0" locked="0" layoutInCell="1" allowOverlap="1">
            <wp:simplePos x="0" y="0"/>
            <wp:positionH relativeFrom="column">
              <wp:posOffset>4472940</wp:posOffset>
            </wp:positionH>
            <wp:positionV relativeFrom="paragraph">
              <wp:posOffset>417195</wp:posOffset>
            </wp:positionV>
            <wp:extent cx="746760" cy="467360"/>
            <wp:effectExtent l="0" t="0" r="0" b="5080"/>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2576" behindDoc="0" locked="0" layoutInCell="1" allowOverlap="1">
            <wp:simplePos x="0" y="0"/>
            <wp:positionH relativeFrom="column">
              <wp:posOffset>1591310</wp:posOffset>
            </wp:positionH>
            <wp:positionV relativeFrom="paragraph">
              <wp:posOffset>330835</wp:posOffset>
            </wp:positionV>
            <wp:extent cx="746760" cy="467360"/>
            <wp:effectExtent l="0" t="0" r="0"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bookmarkStart w:id="22" w:name="_GoBack"/>
      <w:bookmarkEnd w:id="22"/>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0" w:firstLineChars="250"/>
        <w:rPr>
          <w:b/>
          <w:color w:val="000000" w:themeColor="text1"/>
        </w:rPr>
      </w:pPr>
      <w:r>
        <w:rPr>
          <w:sz w:val="22"/>
          <w:szCs w:val="22"/>
        </w:rPr>
        <w:drawing>
          <wp:anchor distT="0" distB="0" distL="114300" distR="114300" simplePos="0" relativeHeight="251795456" behindDoc="0" locked="0" layoutInCell="1" allowOverlap="1">
            <wp:simplePos x="0" y="0"/>
            <wp:positionH relativeFrom="column">
              <wp:posOffset>2498725</wp:posOffset>
            </wp:positionH>
            <wp:positionV relativeFrom="paragraph">
              <wp:posOffset>113030</wp:posOffset>
            </wp:positionV>
            <wp:extent cx="503555" cy="330200"/>
            <wp:effectExtent l="0" t="0" r="14605" b="5080"/>
            <wp:wrapNone/>
            <wp:docPr id="10" name="图片 10"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7de3ae164cf7699def4c632e53688b"/>
                    <pic:cNvPicPr>
                      <a:picLocks noChangeAspect="1"/>
                    </pic:cNvPicPr>
                  </pic:nvPicPr>
                  <pic:blipFill>
                    <a:blip r:embed="rId7"/>
                    <a:stretch>
                      <a:fillRect/>
                    </a:stretch>
                  </pic:blipFill>
                  <pic:spPr>
                    <a:xfrm>
                      <a:off x="0" y="0"/>
                      <a:ext cx="503555" cy="330200"/>
                    </a:xfrm>
                    <a:prstGeom prst="rect">
                      <a:avLst/>
                    </a:prstGeom>
                  </pic:spPr>
                </pic:pic>
              </a:graphicData>
            </a:graphic>
          </wp:anchor>
        </w:drawing>
      </w:r>
      <w:r>
        <w:rPr>
          <w:rFonts w:hint="eastAsia"/>
          <w:b/>
          <w:sz w:val="22"/>
          <w:szCs w:val="22"/>
        </w:rPr>
        <w:drawing>
          <wp:anchor distT="0" distB="0" distL="114300" distR="114300" simplePos="0" relativeHeight="251679744" behindDoc="0" locked="0" layoutInCell="1" allowOverlap="1">
            <wp:simplePos x="0" y="0"/>
            <wp:positionH relativeFrom="column">
              <wp:posOffset>2046605</wp:posOffset>
            </wp:positionH>
            <wp:positionV relativeFrom="paragraph">
              <wp:posOffset>136525</wp:posOffset>
            </wp:positionV>
            <wp:extent cx="504190" cy="381635"/>
            <wp:effectExtent l="0" t="0" r="13970" b="14605"/>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8" cstate="print"/>
                    <a:srcRect/>
                    <a:stretch>
                      <a:fillRect/>
                    </a:stretch>
                  </pic:blipFill>
                  <pic:spPr>
                    <a:xfrm>
                      <a:off x="0" y="0"/>
                      <a:ext cx="504190" cy="38163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740160" behindDoc="0" locked="0" layoutInCell="1" allowOverlap="1">
            <wp:simplePos x="0" y="0"/>
            <wp:positionH relativeFrom="column">
              <wp:posOffset>4097655</wp:posOffset>
            </wp:positionH>
            <wp:positionV relativeFrom="paragraph">
              <wp:posOffset>157480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712512" behindDoc="0" locked="0" layoutInCell="1" allowOverlap="1">
            <wp:simplePos x="0" y="0"/>
            <wp:positionH relativeFrom="column">
              <wp:posOffset>4891405</wp:posOffset>
            </wp:positionH>
            <wp:positionV relativeFrom="paragraph">
              <wp:posOffset>179705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75648" behindDoc="0" locked="0" layoutInCell="1" allowOverlap="1">
            <wp:simplePos x="0" y="0"/>
            <wp:positionH relativeFrom="column">
              <wp:posOffset>1532890</wp:posOffset>
            </wp:positionH>
            <wp:positionV relativeFrom="paragraph">
              <wp:posOffset>155575</wp:posOffset>
            </wp:positionV>
            <wp:extent cx="410210" cy="424815"/>
            <wp:effectExtent l="0" t="0" r="1270" b="19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10210" cy="424815"/>
                    </a:xfrm>
                    <a:prstGeom prst="rect">
                      <a:avLst/>
                    </a:prstGeom>
                    <a:noFill/>
                    <a:ln w="9525">
                      <a:noFill/>
                      <a:miter lim="800000"/>
                      <a:headEnd/>
                      <a:tailEnd/>
                    </a:ln>
                  </pic:spPr>
                </pic:pic>
              </a:graphicData>
            </a:graphic>
          </wp:anchor>
        </w:drawing>
      </w:r>
    </w:p>
    <w:p>
      <w:pPr>
        <w:snapToGrid w:val="0"/>
        <w:spacing w:afterLines="50" w:line="360" w:lineRule="auto"/>
        <w:ind w:left="-13" w:leftChars="-32" w:hanging="54" w:hangingChars="26"/>
        <w:rPr>
          <w:b/>
          <w:color w:val="000000" w:themeColor="text1"/>
          <w:sz w:val="26"/>
          <w:szCs w:val="26"/>
        </w:rPr>
      </w:pPr>
      <w:r>
        <w:rPr>
          <w:rFonts w:hint="eastAsia" w:eastAsia="宋体"/>
          <w:lang w:eastAsia="zh-CN"/>
        </w:rPr>
        <w:drawing>
          <wp:anchor distT="0" distB="0" distL="114300" distR="114300" simplePos="0" relativeHeight="251703296" behindDoc="0" locked="0" layoutInCell="1" allowOverlap="1">
            <wp:simplePos x="0" y="0"/>
            <wp:positionH relativeFrom="column">
              <wp:posOffset>2996565</wp:posOffset>
            </wp:positionH>
            <wp:positionV relativeFrom="paragraph">
              <wp:posOffset>24130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4006" w:firstLineChars="1900"/>
        <w:rPr>
          <w:rFonts w:hint="eastAsia" w:eastAsiaTheme="minorEastAsia"/>
          <w:b/>
          <w:color w:val="000000" w:themeColor="text1"/>
          <w:sz w:val="16"/>
          <w:szCs w:val="16"/>
          <w:lang w:val="en-US" w:eastAsia="zh-CN"/>
        </w:rPr>
      </w:pPr>
      <w:r>
        <w:rPr>
          <w:rFonts w:hint="eastAsia"/>
          <w:b/>
          <w:color w:val="000000" w:themeColor="text1"/>
        </w:rPr>
        <w:t xml:space="preserve">日期：2020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27</w:t>
      </w:r>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1 )个一般不符合，( 0 )个严重不符合，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审核中发现的□EMS(   )个一般不符合，(  )个严重不符合，□验证合格□仍有问题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OHSMS(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95104" behindDoc="0" locked="0" layoutInCell="1" allowOverlap="1">
            <wp:simplePos x="0" y="0"/>
            <wp:positionH relativeFrom="column">
              <wp:posOffset>721360</wp:posOffset>
            </wp:positionH>
            <wp:positionV relativeFrom="paragraph">
              <wp:posOffset>88265</wp:posOffset>
            </wp:positionV>
            <wp:extent cx="746760" cy="467360"/>
            <wp:effectExtent l="0" t="0" r="0" b="508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rPr>
        <w:t xml:space="preserve"> </w:t>
      </w:r>
      <w:r>
        <w:rPr>
          <w:rFonts w:hint="eastAsia"/>
          <w:b/>
          <w:color w:val="000000" w:themeColor="text1"/>
          <w:lang w:val="en-US" w:eastAsia="zh-CN"/>
        </w:rPr>
        <w:t xml:space="preserve"> </w:t>
      </w:r>
      <w:r>
        <w:rPr>
          <w:rFonts w:hint="eastAsia"/>
          <w:b/>
          <w:color w:val="000000" w:themeColor="text1"/>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日期：      </w:t>
      </w:r>
      <w:r>
        <w:rPr>
          <w:rFonts w:hint="eastAsia"/>
          <w:b/>
          <w:color w:val="000000" w:themeColor="text1"/>
          <w:lang w:val="en-US" w:eastAsia="zh-CN"/>
        </w:rPr>
        <w:t xml:space="preserve">  </w:t>
      </w:r>
      <w:r>
        <w:rPr>
          <w:rFonts w:hint="eastAsia"/>
          <w:b/>
          <w:color w:val="000000" w:themeColor="text1"/>
        </w:rPr>
        <w:t xml:space="preserve"> 年   </w:t>
      </w:r>
      <w:r>
        <w:rPr>
          <w:rFonts w:hint="eastAsia"/>
          <w:b/>
          <w:color w:val="000000" w:themeColor="text1"/>
          <w:lang w:val="en-US" w:eastAsia="zh-CN"/>
        </w:rPr>
        <w:t xml:space="preserve"> </w:t>
      </w:r>
      <w:r>
        <w:rPr>
          <w:rFonts w:hint="eastAsia"/>
          <w:b/>
          <w:color w:val="000000" w:themeColor="text1"/>
        </w:rPr>
        <w:t xml:space="preserve">月  </w:t>
      </w:r>
      <w:r>
        <w:rPr>
          <w:rFonts w:hint="eastAsia"/>
          <w:b/>
          <w:color w:val="000000" w:themeColor="text1"/>
          <w:lang w:val="en-US" w:eastAsia="zh-CN"/>
        </w:rPr>
        <w:t xml:space="preserve"> </w:t>
      </w:r>
      <w:r>
        <w:rPr>
          <w:rFonts w:hint="eastAsia"/>
          <w:b/>
          <w:color w:val="000000" w:themeColor="text1"/>
        </w:rPr>
        <w:t xml:space="preserve">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783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2020-12-25T12:19:38Z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