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035550" cy="7124700"/>
            <wp:effectExtent l="0" t="0" r="6350" b="0"/>
            <wp:docPr id="3" name="图片 3" descr="D审核资料(恒拓环境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审核资料(恒拓环境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解晶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18689004444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解晶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0008-2020-E-2021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监查1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电力铁附件、电力金具、井圈、井盖、标志牌、塑料管材、钢绞线、线路辅助材料、螺栓、通信抱杆、变压器、绝缘子、钢管、配电箱的销售及其场所所涉及的环境管理活动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 w:val="0"/>
                <w:bCs w:val="0"/>
                <w:sz w:val="20"/>
              </w:rPr>
              <w:t>2021年01月11日 下午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 w:val="0"/>
                <w:bCs w:val="0"/>
                <w:sz w:val="20"/>
              </w:rPr>
              <w:t>2021年01月11日 下午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 w:val="0"/>
                <w:bCs w:val="0"/>
                <w:sz w:val="20"/>
              </w:rPr>
              <w:t>0.5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45720</wp:posOffset>
                  </wp:positionV>
                  <wp:extent cx="983615" cy="4737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25"/>
        <w:gridCol w:w="64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13：30-14：30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；领导作用和承诺；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及其实现的策划；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、分析和评价总则；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持续改进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/4.2/4.3/4.4/5.1/5.2/5.3/6.1/6.2/7.1/9.1.1/9.3/10.1/10.3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14：30-15：30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eastAsia="zh-CN"/>
              </w:rPr>
              <w:t>目标；环境因素；合规义务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人员、组织知识；能力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；沟通；信息交流；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；合规性评价；不符合和纠正措施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涉及条款：5.3/6.1.2/6.1.3/6.2/8.1/8.2/9.1.2/9.2/10.2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15：30-16：30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  <w:lang w:eastAsia="zh-CN"/>
              </w:rPr>
              <w:t>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C27B2"/>
    <w:rsid w:val="1DBC3911"/>
    <w:rsid w:val="5E6867DF"/>
    <w:rsid w:val="7F3D1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2021-01-16T08:54:58Z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