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</w:pPr>
      <w:r>
        <w:rPr>
          <w:rFonts w:hint="eastAsia" w:asciiTheme="minorEastAsia" w:hAnsiTheme="minorEastAsia" w:eastAsiaTheme="minorEastAsia" w:cstheme="minorEastAsia"/>
          <w:bCs/>
          <w:color w:val="000000"/>
          <w:sz w:val="36"/>
          <w:szCs w:val="36"/>
        </w:rPr>
        <w:t>管理体系审核记录表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36"/>
          <w:szCs w:val="36"/>
          <w:lang w:val="en-US" w:eastAsia="zh-CN"/>
        </w:rPr>
        <w:t>1</w:t>
      </w:r>
    </w:p>
    <w:tbl>
      <w:tblPr>
        <w:tblStyle w:val="17"/>
        <w:tblW w:w="14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965"/>
        <w:gridCol w:w="10927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173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过程与活动、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抽样计划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涉及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条款</w:t>
            </w:r>
          </w:p>
        </w:tc>
        <w:tc>
          <w:tcPr>
            <w:tcW w:w="10927" w:type="dxa"/>
            <w:vAlign w:val="center"/>
          </w:tcPr>
          <w:p>
            <w:pPr>
              <w:rPr>
                <w:rFonts w:hint="default" w:eastAsia="宋体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highlight w:val="none"/>
              </w:rPr>
              <w:t>受审核部门：</w:t>
            </w:r>
            <w:r>
              <w:rPr>
                <w:rFonts w:hint="eastAsia"/>
                <w:highlight w:val="none"/>
                <w:lang w:val="en-US" w:eastAsia="zh-CN"/>
              </w:rPr>
              <w:t>财务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部</w:t>
            </w:r>
            <w:r>
              <w:rPr>
                <w:rFonts w:ascii="Times New Roman" w:hAnsi="Times New Roman"/>
                <w:highlight w:val="none"/>
              </w:rPr>
              <w:t xml:space="preserve">   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highlight w:val="none"/>
              </w:rPr>
              <w:t>主管领导：</w:t>
            </w:r>
            <w:r>
              <w:rPr>
                <w:rFonts w:hint="eastAsia"/>
                <w:highlight w:val="none"/>
                <w:lang w:val="en-US" w:eastAsia="zh-CN"/>
              </w:rPr>
              <w:t>王爱丹</w:t>
            </w:r>
            <w:r>
              <w:rPr>
                <w:rFonts w:hint="eastAsia" w:ascii="Times New Roman" w:hAnsi="Times New Roman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highlight w:val="none"/>
              </w:rPr>
              <w:t xml:space="preserve"> 陪同人员：</w:t>
            </w:r>
            <w:r>
              <w:rPr>
                <w:rFonts w:hint="eastAsia"/>
                <w:highlight w:val="none"/>
                <w:lang w:val="en-US" w:eastAsia="zh-CN"/>
              </w:rPr>
              <w:t>周丹娟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73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927" w:type="dxa"/>
            <w:vAlign w:val="center"/>
          </w:tcPr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审核员：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林兵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审核时间：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2020年12月29-31日</w:t>
            </w:r>
          </w:p>
        </w:tc>
        <w:tc>
          <w:tcPr>
            <w:tcW w:w="7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73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927" w:type="dxa"/>
            <w:vAlign w:val="center"/>
          </w:tcPr>
          <w:p>
            <w:pPr>
              <w:pStyle w:val="2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审核条款：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sz w:val="21"/>
                <w:szCs w:val="21"/>
              </w:rPr>
              <w:t>: 5.3组织的岗位、职责和权限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、6.2质量目标</w:t>
            </w:r>
          </w:p>
          <w:p>
            <w:pPr>
              <w:pStyle w:val="2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EO:6.1.2环境因素/危险源的辨识与评价、</w:t>
            </w:r>
            <w:r>
              <w:rPr>
                <w:rFonts w:hint="eastAsia" w:ascii="宋体" w:hAnsi="宋体" w:cs="Arial"/>
                <w:sz w:val="21"/>
                <w:szCs w:val="21"/>
              </w:rPr>
              <w:t>8.1运行策划和控制、8.2应急准备和响应</w:t>
            </w:r>
          </w:p>
        </w:tc>
        <w:tc>
          <w:tcPr>
            <w:tcW w:w="7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17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岗位、职责、权限、责任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QEO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:5.3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27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部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负责人：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王爱丹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F09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查《管理手册》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附录3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规定了本部门的职责和权限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2" w:type="dxa"/>
          </w:tcPr>
          <w:p>
            <w:pPr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217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目标、指标及完成情况</w:t>
            </w:r>
          </w:p>
        </w:tc>
        <w:tc>
          <w:tcPr>
            <w:tcW w:w="96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Q:6.2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2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sym w:font="Wingdings 2" w:char="F098"/>
            </w:r>
            <w:r>
              <w:rPr>
                <w:rFonts w:hint="eastAsia"/>
                <w:color w:val="auto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门质量目标：                      </w:t>
            </w:r>
          </w:p>
          <w:tbl>
            <w:tblPr>
              <w:tblStyle w:val="18"/>
              <w:tblW w:w="1071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77"/>
              <w:gridCol w:w="2678"/>
              <w:gridCol w:w="2678"/>
              <w:gridCol w:w="26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7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黑体" w:hAnsi="黑体" w:eastAsia="黑体" w:cs="黑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>部门</w:t>
                  </w:r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黑体" w:hAnsi="黑体" w:eastAsia="黑体" w:cs="黑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 xml:space="preserve">           分目标</w:t>
                  </w:r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黑体" w:hAnsi="黑体" w:eastAsia="黑体" w:cs="黑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>考核方法</w:t>
                  </w:r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黑体" w:hAnsi="黑体" w:eastAsia="黑体" w:cs="黑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>统计结果（6-10月）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7" w:type="dxa"/>
                  <w:vMerge w:val="restart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黑体" w:hAnsi="黑体" w:eastAsia="黑体" w:cs="黑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>财务部</w:t>
                  </w:r>
                </w:p>
                <w:p>
                  <w:pPr>
                    <w:pStyle w:val="2"/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黑体" w:hAnsi="黑体" w:eastAsia="黑体" w:cs="黑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</w:rPr>
                    <w:t>1.</w:t>
                  </w:r>
                  <w:r>
                    <w:rPr>
                      <w:rFonts w:hint="eastAsia" w:ascii="黑体" w:hAnsi="黑体" w:eastAsia="黑体" w:cs="黑体"/>
                    </w:rPr>
                    <w:t xml:space="preserve"> 分类处理各类废弃物，有专门收集箱并标识，100%分类回收处理</w:t>
                  </w:r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黑体" w:hAnsi="黑体" w:eastAsia="黑体" w:cs="黑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Cs w:val="21"/>
                    </w:rPr>
                    <w:t>处理率＝回收处理数÷应回处理总数×100%</w:t>
                  </w:r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黑体" w:hAnsi="黑体" w:eastAsia="黑体" w:cs="黑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7" w:type="dxa"/>
                  <w:vMerge w:val="continue"/>
                </w:tcPr>
                <w:p>
                  <w:pPr>
                    <w:pStyle w:val="2"/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黑体" w:hAnsi="黑体" w:eastAsia="黑体" w:cs="黑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>2.资金按时投入率100%.</w:t>
                  </w:r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pStyle w:val="9"/>
                    <w:spacing w:before="60" w:beforeLines="15" w:after="60" w:afterLines="15" w:line="0" w:lineRule="atLeast"/>
                    <w:ind w:left="420" w:leftChars="200"/>
                    <w:rPr>
                      <w:rFonts w:hint="eastAsia" w:ascii="黑体" w:hAnsi="黑体" w:eastAsia="黑体" w:cs="黑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21"/>
                      <w:szCs w:val="21"/>
                    </w:rPr>
                    <w:t>按时投入率＝应投入资金×100%</w:t>
                  </w:r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pStyle w:val="9"/>
                    <w:spacing w:before="60" w:beforeLines="15" w:after="60" w:afterLines="15" w:line="0" w:lineRule="atLeast"/>
                    <w:ind w:left="420" w:leftChars="200"/>
                    <w:jc w:val="center"/>
                    <w:rPr>
                      <w:rFonts w:hint="eastAsia" w:ascii="黑体" w:hAnsi="黑体" w:eastAsia="黑体" w:cs="黑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</w:tbl>
          <w:p>
            <w:pPr>
              <w:pStyle w:val="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看2020年6-10月目标考核情况，已经达成目标。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2" w:type="dxa"/>
          </w:tcPr>
          <w:p>
            <w:pPr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17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风险管控的策划和实施</w:t>
            </w:r>
          </w:p>
        </w:tc>
        <w:tc>
          <w:tcPr>
            <w:tcW w:w="96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QEO6.1</w:t>
            </w:r>
          </w:p>
        </w:tc>
        <w:tc>
          <w:tcPr>
            <w:tcW w:w="10927" w:type="dxa"/>
            <w:vAlign w:val="top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公司编制了《风险和机遇分析、评价和应对措施的确定程序》。 风险管理流程：风险识别——风险评估——风险响应——风险控制。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提供风险和机遇评估分析表,对识别的风险和机遇进行评估，并制定了应对风险及机遇的措施。措施有效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73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7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环境因素识别，危险源辨识、风险评估及控制措施</w:t>
            </w:r>
          </w:p>
        </w:tc>
        <w:tc>
          <w:tcPr>
            <w:tcW w:w="96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EO:6.1.2/6.1.4</w:t>
            </w:r>
          </w:p>
        </w:tc>
        <w:tc>
          <w:tcPr>
            <w:tcW w:w="10927" w:type="dxa"/>
            <w:vAlign w:val="top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详见项目部有关办公场所的环境因素识别记录及措施。</w:t>
            </w:r>
          </w:p>
        </w:tc>
        <w:tc>
          <w:tcPr>
            <w:tcW w:w="732" w:type="dxa"/>
          </w:tcPr>
          <w:p>
            <w:pPr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73" w:type="dxa"/>
            <w:vAlign w:val="top"/>
          </w:tcPr>
          <w:p>
            <w:pPr>
              <w:spacing w:line="360" w:lineRule="auto"/>
              <w:rPr>
                <w:szCs w:val="21"/>
                <w:u w:val="none"/>
              </w:rPr>
            </w:pPr>
            <w:r>
              <w:rPr>
                <w:rFonts w:hint="eastAsia"/>
                <w:szCs w:val="21"/>
                <w:u w:val="none"/>
              </w:rPr>
              <w:t>运行策划和控制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6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szCs w:val="21"/>
                <w:u w:val="none"/>
              </w:rPr>
              <w:t>E</w:t>
            </w:r>
            <w:r>
              <w:rPr>
                <w:szCs w:val="21"/>
                <w:u w:val="none"/>
              </w:rPr>
              <w:t>O</w:t>
            </w:r>
            <w:r>
              <w:rPr>
                <w:rFonts w:hint="eastAsia"/>
                <w:szCs w:val="21"/>
                <w:u w:val="none"/>
              </w:rPr>
              <w:t>8.1</w:t>
            </w:r>
          </w:p>
        </w:tc>
        <w:tc>
          <w:tcPr>
            <w:tcW w:w="10927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编制与环境、安全管理体系运行控制有关的文件有《环境因素识别与评价管理程序》、《危险源辨识与风险评价控制措施管理程序》、《对相关方施加影响管理程序》等。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1、废水管控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主要生活废水排入政府污水管网统一处理。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2、固废管控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生活垃圾，办公室有垃圾篓集中倒入垃圾站，由公司项目部送至统一地点集中处理。危废（墨盒、硒鼓、灯管）排放由供应商回收处置；</w:t>
            </w:r>
          </w:p>
          <w:p>
            <w:pPr>
              <w:pStyle w:val="25"/>
              <w:numPr>
                <w:ilvl w:val="0"/>
                <w:numId w:val="2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能源资源管控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销售过程注意节水、节电、节油，人走关闭开关，未发现有漏水和浪费电能的现象。</w:t>
            </w:r>
          </w:p>
          <w:p>
            <w:pPr>
              <w:spacing w:line="240" w:lineRule="exact"/>
              <w:ind w:leftChars="200"/>
              <w:jc w:val="left"/>
              <w:rPr>
                <w:rFonts w:hint="eastAsia"/>
                <w:lang w:eastAsia="zh-CN"/>
              </w:rPr>
            </w:pPr>
            <w:r>
              <w:t>4</w:t>
            </w:r>
            <w:r>
              <w:rPr>
                <w:rFonts w:hint="eastAsia"/>
              </w:rPr>
              <w:t>、潜在火灾管控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公司综合办公室现场配有灭火器和应急预案。办公楼配备了消防栓和灭火器，状态有效，公司办公室办公区域和供水站内配置灭火器，维护保养的道路设有消防栓。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5、触电安全防护：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现场电线布线合理，漏电保护器状态良好。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  <w:lang w:val="en-US" w:eastAsia="zh-CN"/>
              </w:rPr>
              <w:t>6、</w:t>
            </w:r>
            <w:r>
              <w:rPr>
                <w:rFonts w:hint="eastAsia"/>
              </w:rPr>
              <w:t>安全防护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疫情期间进出公司人员进行温度登记，查看健康码，公司给员工发放口罩等劳保用品，不允许私拉乱扔。</w:t>
            </w:r>
          </w:p>
          <w:p>
            <w:pPr>
              <w:pStyle w:val="2"/>
              <w:numPr>
                <w:ilvl w:val="0"/>
                <w:numId w:val="3"/>
              </w:numPr>
              <w:ind w:left="375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费用投入</w:t>
            </w:r>
          </w:p>
          <w:p>
            <w:pPr>
              <w:pStyle w:val="2"/>
              <w:numPr>
                <w:ilvl w:val="0"/>
                <w:numId w:val="0"/>
              </w:numPr>
              <w:ind w:left="375" w:leftChars="0"/>
              <w:rPr>
                <w:rFonts w:hint="eastAsia" w:ascii="Times New Roman" w:hAnsi="Times New Roman" w:eastAsia="黑体" w:cs="Times New Roman"/>
                <w:bCs/>
                <w:spacing w:val="1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用于员工口罩、手套、雨具用品等年投入约5万元。</w:t>
            </w:r>
          </w:p>
        </w:tc>
        <w:tc>
          <w:tcPr>
            <w:tcW w:w="73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73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u w:val="none"/>
              </w:rPr>
              <w:t>应急响应和准备</w:t>
            </w:r>
          </w:p>
        </w:tc>
        <w:tc>
          <w:tcPr>
            <w:tcW w:w="96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szCs w:val="21"/>
                <w:u w:val="none"/>
              </w:rPr>
              <w:t>E</w:t>
            </w:r>
            <w:r>
              <w:rPr>
                <w:szCs w:val="21"/>
                <w:u w:val="none"/>
              </w:rPr>
              <w:t>O</w:t>
            </w:r>
            <w:r>
              <w:rPr>
                <w:rFonts w:hint="eastAsia"/>
                <w:szCs w:val="21"/>
                <w:u w:val="none"/>
              </w:rPr>
              <w:t>8.2</w:t>
            </w:r>
          </w:p>
        </w:tc>
        <w:tc>
          <w:tcPr>
            <w:tcW w:w="10927" w:type="dxa"/>
            <w:vAlign w:val="center"/>
          </w:tcPr>
          <w:p>
            <w:pPr>
              <w:pStyle w:val="28"/>
              <w:spacing w:line="360" w:lineRule="auto"/>
              <w:rPr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  <w:u w:val="none"/>
              </w:rPr>
              <w:t>编制了《应急准备和响应管理程序》，查看内容基本符合要求。</w:t>
            </w:r>
          </w:p>
          <w:p>
            <w:pPr>
              <w:pStyle w:val="28"/>
              <w:spacing w:line="360" w:lineRule="auto"/>
              <w:ind w:firstLineChars="0"/>
              <w:rPr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按公司的</w:t>
            </w:r>
            <w:r>
              <w:rPr>
                <w:rFonts w:hint="eastAsia"/>
                <w:sz w:val="21"/>
                <w:szCs w:val="21"/>
                <w:u w:val="none"/>
              </w:rPr>
              <w:t>应急预案包括触电、火灾、中暑等应急预案。</w:t>
            </w:r>
          </w:p>
          <w:p>
            <w:pPr>
              <w:pStyle w:val="28"/>
              <w:spacing w:line="360" w:lineRule="auto"/>
              <w:ind w:firstLineChars="0"/>
              <w:rPr>
                <w:rFonts w:hint="eastAsia" w:cs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u w:val="none"/>
                <w:lang w:val="en-US" w:eastAsia="zh-CN"/>
              </w:rPr>
              <w:t>部门参加公司进行了消防灭火和触电演练。</w:t>
            </w:r>
          </w:p>
          <w:p>
            <w:pPr>
              <w:pStyle w:val="28"/>
              <w:spacing w:line="360" w:lineRule="auto"/>
              <w:ind w:firstLine="420" w:firstLineChars="0"/>
              <w:rPr>
                <w:rFonts w:hint="eastAsia" w:ascii="Calibri" w:hAnsi="Calibri" w:eastAsia="宋体" w:cs="Times New Roman"/>
                <w:kern w:val="2"/>
                <w:sz w:val="24"/>
                <w:szCs w:val="21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cs="Times New Roman"/>
                <w:sz w:val="21"/>
                <w:szCs w:val="21"/>
                <w:u w:val="none"/>
                <w:lang w:val="en-US" w:eastAsia="zh-CN"/>
              </w:rPr>
              <w:t>部门目前未发生火灾、触电人身伤害等事故。</w:t>
            </w:r>
          </w:p>
        </w:tc>
        <w:tc>
          <w:tcPr>
            <w:tcW w:w="73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pStyle w:val="12"/>
        <w:rPr>
          <w:rFonts w:hint="eastAsia"/>
        </w:rPr>
      </w:pPr>
    </w:p>
    <w:p>
      <w:pPr>
        <w:pStyle w:val="12"/>
        <w:rPr>
          <w:rFonts w:hint="eastAsia"/>
        </w:rPr>
      </w:pPr>
    </w:p>
    <w:p>
      <w:pPr>
        <w:pStyle w:val="12"/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1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24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24"/>
        <w:rFonts w:hint="default"/>
      </w:rPr>
      <w:t>北京国标联合认证有限公司</w:t>
    </w:r>
    <w:r>
      <w:rPr>
        <w:rStyle w:val="24"/>
        <w:rFonts w:hint="default"/>
      </w:rPr>
      <w:tab/>
    </w:r>
    <w:r>
      <w:rPr>
        <w:rStyle w:val="24"/>
        <w:rFonts w:hint="default"/>
      </w:rPr>
      <w:tab/>
    </w:r>
    <w:r>
      <w:rPr>
        <w:rStyle w:val="24"/>
        <w:rFonts w:hint="default"/>
      </w:rPr>
      <w:tab/>
    </w:r>
  </w:p>
  <w:p>
    <w:pPr>
      <w:pStyle w:val="13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Qaq5dYAAAAKAQAADwAAAAAAAAABACAAAAAiAAAAZHJzL2Rvd25yZXYu&#10;eG1sUEsBAhQAFAAAAAgAh07iQO6djL7EAQAAegMAAA4AAAAAAAAAAQAgAAAAJQ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24"/>
        <w:rFonts w:hint="default"/>
        <w:w w:val="90"/>
      </w:rPr>
      <w:t>Beijing International Standard united Certification Co.,Ltd.</w:t>
    </w:r>
  </w:p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60078E"/>
    <w:multiLevelType w:val="singleLevel"/>
    <w:tmpl w:val="D360078E"/>
    <w:lvl w:ilvl="0" w:tentative="0">
      <w:start w:val="7"/>
      <w:numFmt w:val="decimal"/>
      <w:suff w:val="nothing"/>
      <w:lvlText w:val="%1、"/>
      <w:lvlJc w:val="left"/>
      <w:pPr>
        <w:ind w:left="375" w:leftChars="0" w:firstLine="0" w:firstLineChars="0"/>
      </w:pPr>
    </w:lvl>
  </w:abstractNum>
  <w:abstractNum w:abstractNumId="1">
    <w:nsid w:val="0DB92DEA"/>
    <w:multiLevelType w:val="multilevel"/>
    <w:tmpl w:val="0DB92DEA"/>
    <w:lvl w:ilvl="0" w:tentative="0">
      <w:start w:val="1"/>
      <w:numFmt w:val="decimal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425" w:hanging="425"/>
      </w:pPr>
      <w:rPr>
        <w:rFonts w:hint="default" w:ascii="Calibri" w:hAnsi="Calibri" w:cs="Calibri"/>
        <w:sz w:val="32"/>
        <w:szCs w:val="32"/>
      </w:rPr>
    </w:lvl>
    <w:lvl w:ilvl="2" w:tentative="0">
      <w:start w:val="1"/>
      <w:numFmt w:val="decimal"/>
      <w:pStyle w:val="3"/>
      <w:suff w:val="space"/>
      <w:lvlText w:val="%1.%2.%3"/>
      <w:lvlJc w:val="left"/>
      <w:pPr>
        <w:ind w:left="567" w:hanging="567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1418" w:hanging="567"/>
      </w:pPr>
      <w:rPr>
        <w:rFonts w:hint="eastAsia"/>
        <w:b/>
      </w:rPr>
    </w:lvl>
    <w:lvl w:ilvl="4" w:tentative="0">
      <w:start w:val="1"/>
      <w:numFmt w:val="decimal"/>
      <w:suff w:val="space"/>
      <w:lvlText w:val="%1.%2.%3.%4.%5"/>
      <w:lvlJc w:val="left"/>
      <w:pPr>
        <w:ind w:left="2835" w:hanging="709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2693" w:hanging="99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4DA169EC"/>
    <w:multiLevelType w:val="multilevel"/>
    <w:tmpl w:val="4DA169EC"/>
    <w:lvl w:ilvl="0" w:tentative="0">
      <w:start w:val="3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3905"/>
    <w:rsid w:val="007B3DAF"/>
    <w:rsid w:val="00DB72B2"/>
    <w:rsid w:val="00ED266B"/>
    <w:rsid w:val="00F43426"/>
    <w:rsid w:val="00F72ABE"/>
    <w:rsid w:val="010F4C60"/>
    <w:rsid w:val="01E3771F"/>
    <w:rsid w:val="024F1167"/>
    <w:rsid w:val="027A5C11"/>
    <w:rsid w:val="02B74B3F"/>
    <w:rsid w:val="03314A7D"/>
    <w:rsid w:val="03971E0B"/>
    <w:rsid w:val="03BF4DF3"/>
    <w:rsid w:val="04476F14"/>
    <w:rsid w:val="0458744E"/>
    <w:rsid w:val="050D203E"/>
    <w:rsid w:val="050F7AD6"/>
    <w:rsid w:val="0515091E"/>
    <w:rsid w:val="056F513E"/>
    <w:rsid w:val="05F12FC1"/>
    <w:rsid w:val="06184BB3"/>
    <w:rsid w:val="06276BA1"/>
    <w:rsid w:val="071E0BD8"/>
    <w:rsid w:val="071E5396"/>
    <w:rsid w:val="07252F75"/>
    <w:rsid w:val="07511AB9"/>
    <w:rsid w:val="077168B6"/>
    <w:rsid w:val="07760118"/>
    <w:rsid w:val="07DD4098"/>
    <w:rsid w:val="08151499"/>
    <w:rsid w:val="08193D3A"/>
    <w:rsid w:val="085F30D4"/>
    <w:rsid w:val="0872572E"/>
    <w:rsid w:val="0875081F"/>
    <w:rsid w:val="08870786"/>
    <w:rsid w:val="08F215E2"/>
    <w:rsid w:val="09296E07"/>
    <w:rsid w:val="09B01C49"/>
    <w:rsid w:val="09E31136"/>
    <w:rsid w:val="09EB1CAA"/>
    <w:rsid w:val="0A165B13"/>
    <w:rsid w:val="0A7372D5"/>
    <w:rsid w:val="0AAD3E63"/>
    <w:rsid w:val="0ABE51AD"/>
    <w:rsid w:val="0B063520"/>
    <w:rsid w:val="0B59105B"/>
    <w:rsid w:val="0BED6A15"/>
    <w:rsid w:val="0C1A06B5"/>
    <w:rsid w:val="0C361B65"/>
    <w:rsid w:val="0C3B40FC"/>
    <w:rsid w:val="0CE5132C"/>
    <w:rsid w:val="0D0518EE"/>
    <w:rsid w:val="0D444194"/>
    <w:rsid w:val="0D4B347F"/>
    <w:rsid w:val="0D570C8A"/>
    <w:rsid w:val="0DDC4A26"/>
    <w:rsid w:val="0E04283D"/>
    <w:rsid w:val="0F033D06"/>
    <w:rsid w:val="0F9C26D4"/>
    <w:rsid w:val="10146BF1"/>
    <w:rsid w:val="104F6DAF"/>
    <w:rsid w:val="107D501B"/>
    <w:rsid w:val="10B27CAD"/>
    <w:rsid w:val="11273C0B"/>
    <w:rsid w:val="1174748E"/>
    <w:rsid w:val="11915D99"/>
    <w:rsid w:val="11EC7CB4"/>
    <w:rsid w:val="120C44D2"/>
    <w:rsid w:val="121C34B5"/>
    <w:rsid w:val="130F1D4C"/>
    <w:rsid w:val="134C3D0E"/>
    <w:rsid w:val="138C3317"/>
    <w:rsid w:val="13A84DED"/>
    <w:rsid w:val="13B66175"/>
    <w:rsid w:val="13ED22A6"/>
    <w:rsid w:val="13FB79B0"/>
    <w:rsid w:val="140B4438"/>
    <w:rsid w:val="14496629"/>
    <w:rsid w:val="1492636B"/>
    <w:rsid w:val="14A062F4"/>
    <w:rsid w:val="16890A8B"/>
    <w:rsid w:val="16D67ED2"/>
    <w:rsid w:val="16E26F0E"/>
    <w:rsid w:val="16F02E90"/>
    <w:rsid w:val="17062B69"/>
    <w:rsid w:val="182164BB"/>
    <w:rsid w:val="188972CF"/>
    <w:rsid w:val="18B95C0D"/>
    <w:rsid w:val="18D068A4"/>
    <w:rsid w:val="19122210"/>
    <w:rsid w:val="194A1301"/>
    <w:rsid w:val="195576C8"/>
    <w:rsid w:val="19CA6AEA"/>
    <w:rsid w:val="1A4A1F1B"/>
    <w:rsid w:val="1AB22DB0"/>
    <w:rsid w:val="1B04548A"/>
    <w:rsid w:val="1B3A1DD3"/>
    <w:rsid w:val="1C4D73A6"/>
    <w:rsid w:val="1C984EA9"/>
    <w:rsid w:val="1CF54D0D"/>
    <w:rsid w:val="1D173593"/>
    <w:rsid w:val="1D5510E6"/>
    <w:rsid w:val="1D8927A9"/>
    <w:rsid w:val="1DAA697C"/>
    <w:rsid w:val="1DBC259A"/>
    <w:rsid w:val="1DFC4614"/>
    <w:rsid w:val="1E57661E"/>
    <w:rsid w:val="1E8D2F4B"/>
    <w:rsid w:val="1F5A25AA"/>
    <w:rsid w:val="1F87166B"/>
    <w:rsid w:val="20093412"/>
    <w:rsid w:val="20221AB6"/>
    <w:rsid w:val="20641CD2"/>
    <w:rsid w:val="206D5617"/>
    <w:rsid w:val="209C2F82"/>
    <w:rsid w:val="20D87DD3"/>
    <w:rsid w:val="21333CB9"/>
    <w:rsid w:val="215B5EE3"/>
    <w:rsid w:val="2170552A"/>
    <w:rsid w:val="21725EAA"/>
    <w:rsid w:val="21BD1856"/>
    <w:rsid w:val="21F775B6"/>
    <w:rsid w:val="21FE778F"/>
    <w:rsid w:val="222511D3"/>
    <w:rsid w:val="222A7E1E"/>
    <w:rsid w:val="22A33E3D"/>
    <w:rsid w:val="23C53F61"/>
    <w:rsid w:val="24AF1061"/>
    <w:rsid w:val="2528193B"/>
    <w:rsid w:val="25444A65"/>
    <w:rsid w:val="264941D1"/>
    <w:rsid w:val="26703415"/>
    <w:rsid w:val="268F7A4C"/>
    <w:rsid w:val="26A21C12"/>
    <w:rsid w:val="26E32CAC"/>
    <w:rsid w:val="27416481"/>
    <w:rsid w:val="276F23A0"/>
    <w:rsid w:val="277F67AF"/>
    <w:rsid w:val="27C231BC"/>
    <w:rsid w:val="280C386E"/>
    <w:rsid w:val="283C5AAF"/>
    <w:rsid w:val="28AC6FA1"/>
    <w:rsid w:val="28AD7F2A"/>
    <w:rsid w:val="290772D8"/>
    <w:rsid w:val="29526A59"/>
    <w:rsid w:val="29991719"/>
    <w:rsid w:val="29DB75AB"/>
    <w:rsid w:val="2A0F693C"/>
    <w:rsid w:val="2A4B79CF"/>
    <w:rsid w:val="2A583BDC"/>
    <w:rsid w:val="2B846F6E"/>
    <w:rsid w:val="2BDE2DFD"/>
    <w:rsid w:val="2C1F26D0"/>
    <w:rsid w:val="2C3D292E"/>
    <w:rsid w:val="2C477944"/>
    <w:rsid w:val="2C681735"/>
    <w:rsid w:val="2CB46FDB"/>
    <w:rsid w:val="2DFB27B7"/>
    <w:rsid w:val="2E8F0340"/>
    <w:rsid w:val="2ED42FAB"/>
    <w:rsid w:val="2F366741"/>
    <w:rsid w:val="325B5177"/>
    <w:rsid w:val="32625B19"/>
    <w:rsid w:val="32FA5B66"/>
    <w:rsid w:val="33077788"/>
    <w:rsid w:val="33803AE5"/>
    <w:rsid w:val="33DA419B"/>
    <w:rsid w:val="340D5819"/>
    <w:rsid w:val="34C2320E"/>
    <w:rsid w:val="34FD6C4E"/>
    <w:rsid w:val="357F7BE6"/>
    <w:rsid w:val="359E5DA6"/>
    <w:rsid w:val="36292E46"/>
    <w:rsid w:val="36C67F48"/>
    <w:rsid w:val="36FE6ED4"/>
    <w:rsid w:val="370C0EF6"/>
    <w:rsid w:val="37A03B9A"/>
    <w:rsid w:val="38871868"/>
    <w:rsid w:val="38C773A4"/>
    <w:rsid w:val="38D65753"/>
    <w:rsid w:val="39824704"/>
    <w:rsid w:val="39A15878"/>
    <w:rsid w:val="39AD5135"/>
    <w:rsid w:val="39F545FE"/>
    <w:rsid w:val="3A7733B5"/>
    <w:rsid w:val="3A8F42DA"/>
    <w:rsid w:val="3ACC739E"/>
    <w:rsid w:val="3AF251B7"/>
    <w:rsid w:val="3AFD3559"/>
    <w:rsid w:val="3B1825C5"/>
    <w:rsid w:val="3B320E51"/>
    <w:rsid w:val="3B8023A1"/>
    <w:rsid w:val="3B8519B2"/>
    <w:rsid w:val="3B874061"/>
    <w:rsid w:val="3C676135"/>
    <w:rsid w:val="3CB60938"/>
    <w:rsid w:val="3D0E3869"/>
    <w:rsid w:val="3D586B1B"/>
    <w:rsid w:val="3EB82705"/>
    <w:rsid w:val="3EC5675F"/>
    <w:rsid w:val="3F767015"/>
    <w:rsid w:val="40543EF5"/>
    <w:rsid w:val="405F7DF3"/>
    <w:rsid w:val="408A5C74"/>
    <w:rsid w:val="40CC02CC"/>
    <w:rsid w:val="40D031F2"/>
    <w:rsid w:val="40D83E9F"/>
    <w:rsid w:val="40E4142D"/>
    <w:rsid w:val="41736CE5"/>
    <w:rsid w:val="41982DB7"/>
    <w:rsid w:val="419D4385"/>
    <w:rsid w:val="420F0402"/>
    <w:rsid w:val="43126C97"/>
    <w:rsid w:val="431E0008"/>
    <w:rsid w:val="434D13B2"/>
    <w:rsid w:val="437753D5"/>
    <w:rsid w:val="43B70C81"/>
    <w:rsid w:val="44292AD4"/>
    <w:rsid w:val="4469254F"/>
    <w:rsid w:val="44B27C2A"/>
    <w:rsid w:val="451A3510"/>
    <w:rsid w:val="46300AAA"/>
    <w:rsid w:val="469B1CAE"/>
    <w:rsid w:val="46AE5FF3"/>
    <w:rsid w:val="46D5516E"/>
    <w:rsid w:val="4732799B"/>
    <w:rsid w:val="474D75E2"/>
    <w:rsid w:val="48150E11"/>
    <w:rsid w:val="48212EC4"/>
    <w:rsid w:val="4862186A"/>
    <w:rsid w:val="48B614A6"/>
    <w:rsid w:val="48CB5056"/>
    <w:rsid w:val="49370AB5"/>
    <w:rsid w:val="4A0C4B1D"/>
    <w:rsid w:val="4B031B7A"/>
    <w:rsid w:val="4BA4167F"/>
    <w:rsid w:val="4BF806A6"/>
    <w:rsid w:val="4C540BEC"/>
    <w:rsid w:val="4C6427BD"/>
    <w:rsid w:val="4CE66527"/>
    <w:rsid w:val="4D221E11"/>
    <w:rsid w:val="4D271D07"/>
    <w:rsid w:val="4D4D6563"/>
    <w:rsid w:val="4E230FE8"/>
    <w:rsid w:val="4E3C6E2B"/>
    <w:rsid w:val="4E3E4E22"/>
    <w:rsid w:val="4E4832CD"/>
    <w:rsid w:val="4E835676"/>
    <w:rsid w:val="4F0F48AA"/>
    <w:rsid w:val="4FB9214A"/>
    <w:rsid w:val="4FC5339D"/>
    <w:rsid w:val="4FC66683"/>
    <w:rsid w:val="4FD23DCD"/>
    <w:rsid w:val="4FE20E43"/>
    <w:rsid w:val="50243E54"/>
    <w:rsid w:val="50425DAA"/>
    <w:rsid w:val="50A713CB"/>
    <w:rsid w:val="513405CC"/>
    <w:rsid w:val="513813F3"/>
    <w:rsid w:val="515A41FC"/>
    <w:rsid w:val="519B1D3C"/>
    <w:rsid w:val="524D2A61"/>
    <w:rsid w:val="527E73EA"/>
    <w:rsid w:val="527F5A28"/>
    <w:rsid w:val="52802927"/>
    <w:rsid w:val="53604C26"/>
    <w:rsid w:val="54431A0E"/>
    <w:rsid w:val="54552B6D"/>
    <w:rsid w:val="54D44AC7"/>
    <w:rsid w:val="553F67DC"/>
    <w:rsid w:val="55CE15C1"/>
    <w:rsid w:val="56112655"/>
    <w:rsid w:val="56A42262"/>
    <w:rsid w:val="5711455E"/>
    <w:rsid w:val="57802FAE"/>
    <w:rsid w:val="57B9702B"/>
    <w:rsid w:val="57D07126"/>
    <w:rsid w:val="58260B9B"/>
    <w:rsid w:val="58500DD6"/>
    <w:rsid w:val="5855243C"/>
    <w:rsid w:val="585D3DF0"/>
    <w:rsid w:val="58746F33"/>
    <w:rsid w:val="58CF6491"/>
    <w:rsid w:val="58D25A73"/>
    <w:rsid w:val="58D54B9A"/>
    <w:rsid w:val="59BE02C8"/>
    <w:rsid w:val="59D624CA"/>
    <w:rsid w:val="5A4A3433"/>
    <w:rsid w:val="5AA804F6"/>
    <w:rsid w:val="5B0B47FB"/>
    <w:rsid w:val="5B4B0AC3"/>
    <w:rsid w:val="5B4F64F7"/>
    <w:rsid w:val="5CA0213D"/>
    <w:rsid w:val="5D156FA2"/>
    <w:rsid w:val="5D551BFA"/>
    <w:rsid w:val="5D6E0C63"/>
    <w:rsid w:val="5DE977F8"/>
    <w:rsid w:val="5F0F1DD3"/>
    <w:rsid w:val="5F207068"/>
    <w:rsid w:val="5F760B65"/>
    <w:rsid w:val="5FA27792"/>
    <w:rsid w:val="5FF35C58"/>
    <w:rsid w:val="60364859"/>
    <w:rsid w:val="603C0D48"/>
    <w:rsid w:val="605F13F0"/>
    <w:rsid w:val="608A1A55"/>
    <w:rsid w:val="60A1719B"/>
    <w:rsid w:val="60E35500"/>
    <w:rsid w:val="6121278F"/>
    <w:rsid w:val="612625AA"/>
    <w:rsid w:val="6148542E"/>
    <w:rsid w:val="61817E3C"/>
    <w:rsid w:val="620F6776"/>
    <w:rsid w:val="62367E65"/>
    <w:rsid w:val="624038C5"/>
    <w:rsid w:val="6265623A"/>
    <w:rsid w:val="628F111D"/>
    <w:rsid w:val="629E1DFA"/>
    <w:rsid w:val="62A86D2A"/>
    <w:rsid w:val="62B23D75"/>
    <w:rsid w:val="62E0271D"/>
    <w:rsid w:val="62EB5301"/>
    <w:rsid w:val="632C14AF"/>
    <w:rsid w:val="6376327D"/>
    <w:rsid w:val="63E65CAD"/>
    <w:rsid w:val="644205E4"/>
    <w:rsid w:val="644D1DFE"/>
    <w:rsid w:val="65364107"/>
    <w:rsid w:val="65DC4836"/>
    <w:rsid w:val="65DF3879"/>
    <w:rsid w:val="661357A0"/>
    <w:rsid w:val="663D1963"/>
    <w:rsid w:val="667A086C"/>
    <w:rsid w:val="66F23DA0"/>
    <w:rsid w:val="67591F27"/>
    <w:rsid w:val="67BF5964"/>
    <w:rsid w:val="67ED0162"/>
    <w:rsid w:val="680C1D11"/>
    <w:rsid w:val="68675294"/>
    <w:rsid w:val="688A2780"/>
    <w:rsid w:val="689E3E83"/>
    <w:rsid w:val="68ED24C0"/>
    <w:rsid w:val="691F79AD"/>
    <w:rsid w:val="698334C9"/>
    <w:rsid w:val="6AEB0406"/>
    <w:rsid w:val="6B1662A0"/>
    <w:rsid w:val="6B324C90"/>
    <w:rsid w:val="6C075B40"/>
    <w:rsid w:val="6C9A762A"/>
    <w:rsid w:val="6CC64A9C"/>
    <w:rsid w:val="6CDF240E"/>
    <w:rsid w:val="6CEF5DF8"/>
    <w:rsid w:val="6D3D73A6"/>
    <w:rsid w:val="6DB55520"/>
    <w:rsid w:val="6E32632A"/>
    <w:rsid w:val="6E83674B"/>
    <w:rsid w:val="6F81410E"/>
    <w:rsid w:val="6FCA1424"/>
    <w:rsid w:val="70222ADB"/>
    <w:rsid w:val="70323211"/>
    <w:rsid w:val="71277622"/>
    <w:rsid w:val="716B506C"/>
    <w:rsid w:val="71805FEF"/>
    <w:rsid w:val="71C8773D"/>
    <w:rsid w:val="71E940A1"/>
    <w:rsid w:val="72DE7C54"/>
    <w:rsid w:val="72F8265E"/>
    <w:rsid w:val="73235F29"/>
    <w:rsid w:val="73A823EF"/>
    <w:rsid w:val="74775FC0"/>
    <w:rsid w:val="749414A1"/>
    <w:rsid w:val="76084588"/>
    <w:rsid w:val="76B83908"/>
    <w:rsid w:val="76EA4765"/>
    <w:rsid w:val="77197ED0"/>
    <w:rsid w:val="77392219"/>
    <w:rsid w:val="77AB14FD"/>
    <w:rsid w:val="78624DA5"/>
    <w:rsid w:val="78773C75"/>
    <w:rsid w:val="78AB0C68"/>
    <w:rsid w:val="78E328E5"/>
    <w:rsid w:val="78E90B93"/>
    <w:rsid w:val="79046A88"/>
    <w:rsid w:val="79130FEA"/>
    <w:rsid w:val="79662E86"/>
    <w:rsid w:val="79EA0D2A"/>
    <w:rsid w:val="7A2141E3"/>
    <w:rsid w:val="7A33156C"/>
    <w:rsid w:val="7AC27882"/>
    <w:rsid w:val="7AF83AAC"/>
    <w:rsid w:val="7B011597"/>
    <w:rsid w:val="7B0924ED"/>
    <w:rsid w:val="7B2075DD"/>
    <w:rsid w:val="7B2A00C7"/>
    <w:rsid w:val="7B5D5082"/>
    <w:rsid w:val="7BD16A01"/>
    <w:rsid w:val="7C3F1BA4"/>
    <w:rsid w:val="7CD32026"/>
    <w:rsid w:val="7CEB71BA"/>
    <w:rsid w:val="7D7E60EF"/>
    <w:rsid w:val="7D9C7A9A"/>
    <w:rsid w:val="7DA81AEB"/>
    <w:rsid w:val="7DD06F88"/>
    <w:rsid w:val="7DE85FE7"/>
    <w:rsid w:val="7ED21CB4"/>
    <w:rsid w:val="7F806C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4"/>
    <w:next w:val="4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Chars="0"/>
      <w:outlineLvl w:val="2"/>
    </w:pPr>
    <w:rPr>
      <w:b/>
      <w:bCs/>
      <w:kern w:val="0"/>
      <w:sz w:val="30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paragraph" w:styleId="4">
    <w:name w:val="Block Text"/>
    <w:basedOn w:val="1"/>
    <w:unhideWhenUsed/>
    <w:qFormat/>
    <w:uiPriority w:val="99"/>
    <w:pPr>
      <w:spacing w:after="120" w:afterLines="0" w:afterAutospacing="0"/>
      <w:ind w:left="1440" w:leftChars="700" w:rightChars="700"/>
    </w:pPr>
  </w:style>
  <w:style w:type="paragraph" w:styleId="5">
    <w:name w:val="Body Text"/>
    <w:basedOn w:val="1"/>
    <w:next w:val="6"/>
    <w:qFormat/>
    <w:uiPriority w:val="1"/>
    <w:rPr>
      <w:rFonts w:ascii="宋体" w:hAnsi="宋体" w:eastAsia="宋体" w:cs="宋体"/>
      <w:sz w:val="24"/>
      <w:szCs w:val="24"/>
    </w:rPr>
  </w:style>
  <w:style w:type="paragraph" w:customStyle="1" w:styleId="6">
    <w:name w:val="一级条标题"/>
    <w:basedOn w:val="7"/>
    <w:next w:val="8"/>
    <w:qFormat/>
    <w:uiPriority w:val="0"/>
    <w:pPr>
      <w:spacing w:line="240" w:lineRule="auto"/>
      <w:ind w:left="420"/>
      <w:outlineLvl w:val="2"/>
    </w:pPr>
  </w:style>
  <w:style w:type="paragraph" w:customStyle="1" w:styleId="7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8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styleId="9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0">
    <w:name w:val="Plain Text"/>
    <w:basedOn w:val="1"/>
    <w:qFormat/>
    <w:uiPriority w:val="0"/>
    <w:rPr>
      <w:rFonts w:ascii="宋体" w:hAnsi="Courier New" w:eastAsiaTheme="minorEastAsia" w:cstheme="minorBidi"/>
    </w:rPr>
  </w:style>
  <w:style w:type="paragraph" w:styleId="11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2"/>
    <w:basedOn w:val="1"/>
    <w:qFormat/>
    <w:uiPriority w:val="0"/>
    <w:pPr>
      <w:spacing w:after="120" w:line="480" w:lineRule="auto"/>
    </w:pPr>
    <w:rPr>
      <w:rFonts w:asciiTheme="minorHAnsi" w:hAnsiTheme="minorHAnsi" w:eastAsiaTheme="minorEastAsia" w:cstheme="minorBidi"/>
    </w:rPr>
  </w:style>
  <w:style w:type="paragraph" w:styleId="15">
    <w:name w:val="Body Text First Indent"/>
    <w:basedOn w:val="5"/>
    <w:unhideWhenUsed/>
    <w:qFormat/>
    <w:uiPriority w:val="99"/>
    <w:pPr>
      <w:spacing w:before="100" w:beforeAutospacing="1"/>
      <w:ind w:firstLine="420" w:firstLineChars="100"/>
    </w:pPr>
  </w:style>
  <w:style w:type="paragraph" w:styleId="16">
    <w:name w:val="Body Text First Indent 2"/>
    <w:basedOn w:val="9"/>
    <w:unhideWhenUsed/>
    <w:qFormat/>
    <w:uiPriority w:val="99"/>
    <w:pPr>
      <w:ind w:firstLine="420" w:firstLineChars="200"/>
    </w:pPr>
    <w:rPr>
      <w:szCs w:val="24"/>
    </w:rPr>
  </w:style>
  <w:style w:type="table" w:styleId="18">
    <w:name w:val="Table Grid"/>
    <w:basedOn w:val="17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customStyle="1" w:styleId="21">
    <w:name w:val="页眉 Char"/>
    <w:basedOn w:val="19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Char"/>
    <w:basedOn w:val="19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批注框文本 Char"/>
    <w:basedOn w:val="19"/>
    <w:link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7">
    <w:name w:val="NormalCharacter"/>
    <w:semiHidden/>
    <w:qFormat/>
    <w:uiPriority w:val="0"/>
  </w:style>
  <w:style w:type="paragraph" w:customStyle="1" w:styleId="28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6</TotalTime>
  <ScaleCrop>false</ScaleCrop>
  <LinksUpToDate>false</LinksUpToDate>
  <CharactersWithSpaces>101</CharactersWithSpaces>
  <Application>WPS Office_11.1.0.10299_F1E327BC-269C-435d-A152-05C5408002CA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森林</cp:lastModifiedBy>
  <dcterms:modified xsi:type="dcterms:W3CDTF">2021-01-03T12:32:50Z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2052-11.1.0.10299</vt:lpwstr>
  </property>
</Properties>
</file>