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6"/>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default" w:eastAsia="宋体" w:asciiTheme="minorEastAsia" w:hAnsiTheme="minorEastAsia" w:cstheme="minorEastAsia"/>
                <w:sz w:val="21"/>
                <w:szCs w:val="21"/>
                <w:highlight w:val="none"/>
                <w:lang w:val="en-US" w:eastAsia="zh-CN"/>
              </w:rPr>
            </w:pPr>
            <w:r>
              <w:rPr>
                <w:rFonts w:ascii="Times New Roman" w:hAnsi="Times New Roman"/>
                <w:highlight w:val="none"/>
              </w:rPr>
              <w:t>受审核部门：</w:t>
            </w:r>
            <w:r>
              <w:rPr>
                <w:rFonts w:hint="eastAsia" w:ascii="宋体" w:hAnsi="宋体"/>
                <w:b/>
                <w:bCs/>
                <w:sz w:val="21"/>
                <w:szCs w:val="21"/>
                <w:highlight w:val="none"/>
                <w:lang w:val="en-US" w:eastAsia="zh-CN"/>
              </w:rPr>
              <w:t>采购部</w:t>
            </w:r>
            <w:r>
              <w:rPr>
                <w:rFonts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主管领导：</w:t>
            </w:r>
            <w:r>
              <w:rPr>
                <w:rFonts w:hint="eastAsia"/>
                <w:highlight w:val="none"/>
                <w:lang w:val="en-US" w:eastAsia="zh-CN"/>
              </w:rPr>
              <w:t>徐铭璐</w:t>
            </w:r>
            <w:r>
              <w:rPr>
                <w:rFonts w:ascii="Times New Roman" w:hAnsi="Times New Roman"/>
                <w:highlight w:val="none"/>
              </w:rPr>
              <w:t xml:space="preserve">  </w:t>
            </w:r>
            <w:r>
              <w:rPr>
                <w:rFonts w:hint="eastAsia"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 xml:space="preserve"> 陪同人员：</w:t>
            </w:r>
            <w:r>
              <w:rPr>
                <w:rFonts w:hint="eastAsia"/>
                <w:highlight w:val="none"/>
                <w:lang w:val="en-US" w:eastAsia="zh-CN"/>
              </w:rPr>
              <w:t>王爱丹</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spacing w:before="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 xml:space="preserve">林兵          </w:t>
            </w:r>
            <w:r>
              <w:rPr>
                <w:rFonts w:hint="eastAsia" w:asciiTheme="minorEastAsia" w:hAnsiTheme="minorEastAsia" w:eastAsiaTheme="minorEastAsia" w:cstheme="minorEastAsia"/>
                <w:color w:val="auto"/>
                <w:sz w:val="21"/>
                <w:szCs w:val="21"/>
                <w:highlight w:val="none"/>
              </w:rPr>
              <w:t>审核时间：</w:t>
            </w:r>
            <w:r>
              <w:rPr>
                <w:rFonts w:hint="eastAsia" w:asciiTheme="minorEastAsia" w:hAnsiTheme="minorEastAsia" w:eastAsiaTheme="minorEastAsia" w:cstheme="minorEastAsia"/>
                <w:color w:val="auto"/>
                <w:sz w:val="21"/>
                <w:szCs w:val="21"/>
                <w:highlight w:val="none"/>
                <w:lang w:val="en-US" w:eastAsia="zh-CN"/>
              </w:rPr>
              <w:t>2020年12月29-31日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pStyle w:val="2"/>
              <w:rPr>
                <w:rFonts w:hint="eastAsia"/>
                <w:highlight w:val="none"/>
              </w:rPr>
            </w:pPr>
            <w:r>
              <w:rPr>
                <w:rFonts w:hint="eastAsia"/>
                <w:highlight w:val="none"/>
              </w:rPr>
              <w:t>审核条款：</w:t>
            </w:r>
          </w:p>
          <w:p>
            <w:pPr>
              <w:adjustRightInd w:val="0"/>
              <w:snapToGrid w:val="0"/>
              <w:ind w:right="105" w:rightChars="50"/>
              <w:textAlignment w:val="baseline"/>
              <w:rPr>
                <w:rFonts w:hint="eastAsia" w:ascii="宋体" w:hAnsi="宋体" w:eastAsia="宋体" w:cs="Arial"/>
                <w:spacing w:val="-6"/>
                <w:sz w:val="21"/>
                <w:szCs w:val="21"/>
              </w:rPr>
            </w:pPr>
            <w:r>
              <w:rPr>
                <w:rFonts w:hint="eastAsia" w:ascii="宋体" w:hAnsi="宋体" w:cs="Arial"/>
                <w:sz w:val="21"/>
                <w:szCs w:val="21"/>
              </w:rPr>
              <w:t>Q</w:t>
            </w:r>
            <w:r>
              <w:rPr>
                <w:rFonts w:hint="eastAsia" w:ascii="宋体" w:hAnsi="宋体" w:cs="Arial"/>
                <w:sz w:val="21"/>
                <w:szCs w:val="21"/>
                <w:lang w:val="en-US" w:eastAsia="zh-CN"/>
              </w:rPr>
              <w:t>EO</w:t>
            </w:r>
            <w:r>
              <w:rPr>
                <w:rFonts w:hint="eastAsia" w:ascii="宋体" w:hAnsi="宋体" w:cs="Arial"/>
                <w:sz w:val="21"/>
                <w:szCs w:val="21"/>
              </w:rPr>
              <w:t>: 5.3组织的岗位、职责和权限、</w:t>
            </w:r>
            <w:r>
              <w:rPr>
                <w:rFonts w:hint="eastAsia" w:ascii="宋体" w:hAnsi="宋体" w:cs="Arial"/>
                <w:spacing w:val="-6"/>
                <w:sz w:val="21"/>
                <w:szCs w:val="21"/>
              </w:rPr>
              <w:t>6.1应对风险和机</w:t>
            </w:r>
            <w:r>
              <w:rPr>
                <w:rFonts w:hint="eastAsia" w:ascii="宋体" w:hAnsi="宋体" w:eastAsia="宋体" w:cs="Arial"/>
                <w:spacing w:val="-6"/>
                <w:sz w:val="21"/>
                <w:szCs w:val="21"/>
              </w:rPr>
              <w:t>遇的措施、6.2质量目标</w:t>
            </w:r>
          </w:p>
          <w:p>
            <w:pPr>
              <w:adjustRightInd w:val="0"/>
              <w:snapToGrid w:val="0"/>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8.4 外部提供过程、产品和服务的控制</w:t>
            </w:r>
          </w:p>
          <w:p>
            <w:pPr>
              <w:pStyle w:val="2"/>
              <w:rPr>
                <w:rFonts w:hint="eastAsia"/>
                <w:highlight w:val="none"/>
              </w:rPr>
            </w:pPr>
            <w:r>
              <w:rPr>
                <w:rFonts w:hint="eastAsia" w:ascii="宋体" w:hAnsi="宋体" w:eastAsia="宋体" w:cs="Arial"/>
                <w:sz w:val="21"/>
                <w:szCs w:val="21"/>
                <w:lang w:val="en-US" w:eastAsia="zh-CN"/>
              </w:rPr>
              <w:t>EO:6.1.2环境因素/危险源的辨识与评价、</w:t>
            </w:r>
            <w:r>
              <w:rPr>
                <w:rFonts w:hint="eastAsia" w:ascii="宋体" w:hAnsi="宋体" w:cs="Arial"/>
                <w:sz w:val="21"/>
                <w:szCs w:val="21"/>
              </w:rPr>
              <w:t>8.1运行策划和控制、8.2应急准备和响应</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采购部   </w:t>
            </w:r>
            <w:r>
              <w:rPr>
                <w:rFonts w:hint="eastAsia" w:asciiTheme="minorEastAsia" w:hAnsiTheme="minorEastAsia" w:eastAsiaTheme="minorEastAsia" w:cstheme="minorEastAsia"/>
                <w:sz w:val="21"/>
                <w:szCs w:val="21"/>
              </w:rPr>
              <w:t>负责人：</w:t>
            </w:r>
            <w:r>
              <w:rPr>
                <w:rFonts w:hint="eastAsia"/>
                <w:highlight w:val="none"/>
                <w:lang w:val="en-US" w:eastAsia="zh-CN"/>
              </w:rPr>
              <w:t>徐铭璐</w:t>
            </w:r>
            <w:r>
              <w:rPr>
                <w:rFonts w:ascii="Times New Roman" w:hAnsi="Times New Roman"/>
                <w:highlight w:val="none"/>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查《管理手册》</w:t>
            </w:r>
            <w:r>
              <w:rPr>
                <w:rFonts w:hint="eastAsia" w:asciiTheme="minorEastAsia" w:hAnsiTheme="minorEastAsia" w:eastAsiaTheme="minorEastAsia" w:cstheme="minorEastAsia"/>
                <w:sz w:val="21"/>
                <w:szCs w:val="21"/>
                <w:lang w:val="en-US" w:eastAsia="zh-CN"/>
              </w:rPr>
              <w:t>附录3</w:t>
            </w:r>
            <w:r>
              <w:rPr>
                <w:rFonts w:hint="eastAsia" w:asciiTheme="minorEastAsia" w:hAnsiTheme="minorEastAsia" w:eastAsiaTheme="minorEastAsia" w:cstheme="minorEastAsia"/>
                <w:sz w:val="21"/>
                <w:szCs w:val="21"/>
              </w:rPr>
              <w:t>规定了本部门的职责和权限</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主要负责：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（1）负责公司的物资、设备的采购工作；负责对所采购材料质量、数量核对工作；有权拒绝未经领导同意批准的采购订单；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（2）负责保存采购工作的必要原始记录，做好统计，定期上报；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（3）对所承担的工作全面负责；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（4）对所采购的物资、设备要有申购单并上报采购上司；协助做好有关物资采购工作的事项；</w:t>
            </w:r>
          </w:p>
          <w:p>
            <w:pPr>
              <w:pStyle w:val="20"/>
              <w:widowControl w:val="0"/>
              <w:numPr>
                <w:numId w:val="0"/>
              </w:numPr>
              <w:tabs>
                <w:tab w:val="left" w:pos="720"/>
              </w:tabs>
              <w:spacing w:line="360" w:lineRule="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编制供应商管理制度，构建供应商管理体系，包括供应商引入制度及考评机制等；</w:t>
            </w:r>
          </w:p>
          <w:p>
            <w:pPr>
              <w:pStyle w:val="20"/>
              <w:widowControl w:val="0"/>
              <w:numPr>
                <w:numId w:val="0"/>
              </w:numPr>
              <w:tabs>
                <w:tab w:val="left" w:pos="720"/>
              </w:tabs>
              <w:spacing w:line="360" w:lineRule="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（6）负责供方调查、评定工作等。</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color w:val="auto"/>
              </w:rPr>
              <w:sym w:font="Wingdings 2" w:char="F098"/>
            </w:r>
            <w:r>
              <w:rPr>
                <w:rFonts w:hint="eastAsia"/>
                <w:color w:val="auto"/>
              </w:rPr>
              <w:t>部</w:t>
            </w:r>
            <w:r>
              <w:rPr>
                <w:rFonts w:hint="eastAsia" w:asciiTheme="minorEastAsia" w:hAnsiTheme="minorEastAsia" w:eastAsiaTheme="minorEastAsia" w:cstheme="minorEastAsia"/>
                <w:sz w:val="21"/>
                <w:szCs w:val="21"/>
              </w:rPr>
              <w:t xml:space="preserve">门目标：                      </w:t>
            </w:r>
          </w:p>
          <w:p>
            <w:pPr>
              <w:pStyle w:val="2"/>
              <w:rPr>
                <w:rFonts w:hint="eastAsia" w:asciiTheme="minorEastAsia" w:hAnsiTheme="minorEastAsia" w:eastAsiaTheme="minorEastAsia" w:cstheme="minorEastAsia"/>
                <w:sz w:val="21"/>
                <w:szCs w:val="21"/>
                <w:lang w:eastAsia="zh-CN"/>
              </w:rPr>
            </w:pPr>
          </w:p>
          <w:tbl>
            <w:tblPr>
              <w:tblStyle w:val="17"/>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77"/>
              <w:gridCol w:w="2678"/>
              <w:gridCol w:w="2678"/>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77"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部门</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分目标</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考核方法</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统计结果（6-10月）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77" w:type="dxa"/>
                  <w:vMerge w:val="restart"/>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采购部</w:t>
                  </w:r>
                </w:p>
                <w:p>
                  <w:pPr>
                    <w:pStyle w:val="2"/>
                    <w:rPr>
                      <w:rFonts w:hint="eastAsia" w:asciiTheme="minorEastAsia" w:hAnsiTheme="minorEastAsia" w:eastAsiaTheme="minorEastAsia" w:cstheme="minorEastAsia"/>
                      <w:sz w:val="21"/>
                      <w:szCs w:val="21"/>
                      <w:vertAlign w:val="baseline"/>
                      <w:lang w:eastAsia="zh-CN"/>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bCs/>
                      <w:color w:val="000000"/>
                    </w:rPr>
                    <w:t>1.采购物资合格率100%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szCs w:val="21"/>
                    </w:rPr>
                    <w:t>合格率＝采购物资检验合格批次÷采购物资总批次×100%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77" w:type="dxa"/>
                  <w:vMerge w:val="continue"/>
                  <w:tcBorders/>
                </w:tcPr>
                <w:p>
                  <w:pPr>
                    <w:pStyle w:val="2"/>
                    <w:rPr>
                      <w:rFonts w:hint="eastAsia" w:asciiTheme="minorEastAsia" w:hAnsiTheme="minorEastAsia" w:eastAsiaTheme="minorEastAsia" w:cstheme="minorEastAsia"/>
                      <w:sz w:val="21"/>
                      <w:szCs w:val="21"/>
                      <w:vertAlign w:val="baseline"/>
                      <w:lang w:eastAsia="zh-CN"/>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bCs/>
                      <w:color w:val="000000"/>
                    </w:rPr>
                    <w:t>2.合格供方评定率100%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szCs w:val="21"/>
                    </w:rPr>
                    <w:t>评定率＝合格供方评定数÷合格供方总数×100%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77" w:type="dxa"/>
                  <w:vMerge w:val="continue"/>
                  <w:tcBorders/>
                </w:tcPr>
                <w:p>
                  <w:pPr>
                    <w:pStyle w:val="2"/>
                    <w:rPr>
                      <w:rFonts w:hint="eastAsia" w:asciiTheme="minorEastAsia" w:hAnsiTheme="minorEastAsia" w:eastAsiaTheme="minorEastAsia" w:cstheme="minorEastAsia"/>
                      <w:sz w:val="21"/>
                      <w:szCs w:val="21"/>
                      <w:vertAlign w:val="baseline"/>
                      <w:lang w:eastAsia="zh-CN"/>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3．办公场所分类处理各类废弃物，有专门收集箱并标识，100%分类回收处理.</w:t>
                  </w:r>
                </w:p>
              </w:tc>
              <w:tc>
                <w:tcPr>
                  <w:tcW w:w="2678" w:type="dxa"/>
                  <w:vAlign w:val="center"/>
                </w:tcPr>
                <w:p>
                  <w:pPr>
                    <w:pStyle w:val="8"/>
                    <w:spacing w:before="60" w:beforeLines="15" w:after="60" w:afterLines="15" w:line="0" w:lineRule="atLeast"/>
                    <w:ind w:left="420" w:leftChars="200"/>
                    <w:rPr>
                      <w:rFonts w:hint="eastAsia" w:ascii="黑体" w:hAnsi="黑体" w:eastAsia="黑体" w:cs="黑体"/>
                      <w:kern w:val="2"/>
                      <w:sz w:val="21"/>
                      <w:szCs w:val="21"/>
                      <w:lang w:val="en-US" w:eastAsia="zh-CN" w:bidi="ar-SA"/>
                    </w:rPr>
                  </w:pPr>
                  <w:r>
                    <w:rPr>
                      <w:rFonts w:hint="eastAsia" w:ascii="黑体" w:hAnsi="黑体" w:eastAsia="黑体" w:cs="黑体"/>
                      <w:bCs/>
                      <w:color w:val="000000"/>
                      <w:sz w:val="21"/>
                      <w:szCs w:val="21"/>
                    </w:rPr>
                    <w:t>处理率＝回收处理数÷应回处理总数×100%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bl>
          <w:p>
            <w:pPr>
              <w:pStyle w:val="2"/>
              <w:rPr>
                <w:rFonts w:hint="eastAsia" w:asciiTheme="minorEastAsia" w:hAnsiTheme="minorEastAsia" w:eastAsiaTheme="minorEastAsia" w:cstheme="minorEastAsia"/>
                <w:sz w:val="21"/>
                <w:szCs w:val="21"/>
                <w:lang w:eastAsia="zh-CN"/>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lang w:val="en-US" w:eastAsia="zh-CN"/>
              </w:rPr>
              <w:t>看2020年6-10季度目标考核情况，已经达成目标。</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10927"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360" w:lineRule="auto"/>
              <w:jc w:val="both"/>
              <w:rPr>
                <w:rFonts w:hint="eastAsia"/>
                <w:highlight w:val="none"/>
              </w:rPr>
            </w:pPr>
            <w:r>
              <w:rPr>
                <w:rFonts w:hint="eastAsia"/>
                <w:highlight w:val="none"/>
              </w:rPr>
              <w:t>外部提供过程、产品和服务的控制</w:t>
            </w: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pStyle w:val="2"/>
              <w:jc w:val="both"/>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分包管理</w:t>
            </w:r>
          </w:p>
          <w:p>
            <w:pPr>
              <w:pStyle w:val="2"/>
              <w:jc w:val="both"/>
              <w:rPr>
                <w:rFonts w:hint="eastAsia" w:asciiTheme="minorEastAsia" w:hAnsiTheme="minorEastAsia" w:eastAsiaTheme="minorEastAsia" w:cstheme="minorEastAsia"/>
                <w:sz w:val="21"/>
                <w:szCs w:val="21"/>
                <w:highlight w:val="none"/>
              </w:rPr>
            </w:pPr>
          </w:p>
        </w:tc>
        <w:tc>
          <w:tcPr>
            <w:tcW w:w="965" w:type="dxa"/>
            <w:vAlign w:val="top"/>
          </w:tcPr>
          <w:p>
            <w:pPr>
              <w:spacing w:line="36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Q8.4</w:t>
            </w:r>
          </w:p>
          <w:p>
            <w:pPr>
              <w:pStyle w:val="2"/>
              <w:rPr>
                <w:rFonts w:hint="default"/>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O8.1.4</w:t>
            </w:r>
          </w:p>
          <w:p>
            <w:pPr>
              <w:pStyle w:val="2"/>
              <w:rPr>
                <w:rFonts w:hint="eastAsia"/>
                <w:highlight w:val="none"/>
                <w:lang w:val="en-US" w:eastAsia="zh-CN"/>
              </w:rPr>
            </w:pPr>
          </w:p>
          <w:p>
            <w:pPr>
              <w:spacing w:line="360" w:lineRule="auto"/>
              <w:ind w:firstLine="308" w:firstLineChars="147"/>
              <w:jc w:val="both"/>
              <w:rPr>
                <w:rFonts w:hint="eastAsia" w:asciiTheme="minorEastAsia" w:hAnsiTheme="minorEastAsia" w:eastAsiaTheme="minorEastAsia" w:cstheme="minorEastAsia"/>
                <w:sz w:val="21"/>
                <w:szCs w:val="21"/>
                <w:highlight w:val="none"/>
              </w:rPr>
            </w:pPr>
          </w:p>
        </w:tc>
        <w:tc>
          <w:tcPr>
            <w:tcW w:w="10927" w:type="dxa"/>
            <w:vAlign w:val="center"/>
          </w:tcPr>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olor w:val="auto"/>
                <w:szCs w:val="21"/>
                <w:highlight w:val="none"/>
              </w:rPr>
              <w:sym w:font="Wingdings 2" w:char="F098"/>
            </w:r>
            <w:r>
              <w:rPr>
                <w:rFonts w:hint="eastAsia"/>
                <w:color w:val="auto"/>
                <w:szCs w:val="21"/>
                <w:highlight w:val="none"/>
              </w:rPr>
              <w:t>编制了</w:t>
            </w:r>
            <w:r>
              <w:rPr>
                <w:rFonts w:hint="eastAsia" w:ascii="Times New Roman" w:hAnsi="Times New Roman" w:cs="Times New Roman"/>
                <w:color w:val="auto"/>
                <w:szCs w:val="22"/>
                <w:highlight w:val="none"/>
                <w:lang w:val="en-US" w:eastAsia="zh-CN"/>
              </w:rPr>
              <w:t>SDWY-P-23-2020《外部提供产品、过程和服务控制程序》，也制定了《供方绩效准则》</w:t>
            </w:r>
            <w:r>
              <w:rPr>
                <w:rFonts w:hint="eastAsia"/>
                <w:color w:val="auto"/>
                <w:szCs w:val="21"/>
                <w:highlight w:val="none"/>
              </w:rPr>
              <w:t>明确了根据</w:t>
            </w:r>
            <w:r>
              <w:rPr>
                <w:rFonts w:hint="eastAsia"/>
                <w:color w:val="auto"/>
                <w:szCs w:val="21"/>
                <w:highlight w:val="none"/>
                <w:lang w:val="en-US" w:eastAsia="zh-CN"/>
              </w:rPr>
              <w:t>派交</w:t>
            </w:r>
            <w:r>
              <w:rPr>
                <w:rFonts w:hint="eastAsia"/>
                <w:color w:val="auto"/>
                <w:szCs w:val="21"/>
                <w:highlight w:val="none"/>
              </w:rPr>
              <w:t>单，编制</w:t>
            </w:r>
            <w:r>
              <w:rPr>
                <w:rFonts w:hint="eastAsia"/>
                <w:color w:val="auto"/>
                <w:szCs w:val="21"/>
                <w:highlight w:val="none"/>
                <w:lang w:val="en-US" w:eastAsia="zh-CN"/>
              </w:rPr>
              <w:t>采购单</w:t>
            </w:r>
            <w:r>
              <w:rPr>
                <w:rFonts w:hint="eastAsia"/>
                <w:color w:val="auto"/>
                <w:szCs w:val="21"/>
                <w:highlight w:val="none"/>
              </w:rPr>
              <w:t>。对</w:t>
            </w:r>
            <w:r>
              <w:rPr>
                <w:rFonts w:hint="eastAsia"/>
                <w:color w:val="auto"/>
                <w:szCs w:val="21"/>
                <w:highlight w:val="none"/>
                <w:lang w:val="en-US" w:eastAsia="zh-CN"/>
              </w:rPr>
              <w:t>供方</w:t>
            </w:r>
            <w:r>
              <w:rPr>
                <w:rFonts w:hint="eastAsia"/>
                <w:color w:val="auto"/>
                <w:szCs w:val="21"/>
                <w:highlight w:val="none"/>
              </w:rPr>
              <w:t>进行定期评价，内容包括：</w:t>
            </w:r>
            <w:r>
              <w:rPr>
                <w:rFonts w:hint="eastAsia"/>
                <w:color w:val="auto"/>
                <w:szCs w:val="21"/>
                <w:highlight w:val="none"/>
                <w:lang w:val="en-US" w:eastAsia="zh-CN"/>
              </w:rPr>
              <w:t>供方规模、市场信誉、供货能力；供方的供货期、付款方式；供方质量保证能力</w:t>
            </w:r>
            <w:r>
              <w:rPr>
                <w:rFonts w:hint="eastAsia"/>
                <w:color w:val="auto"/>
                <w:szCs w:val="21"/>
                <w:highlight w:val="none"/>
              </w:rPr>
              <w:t>等内容。经由总经理确认后，纳入公司合格供方。</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提供供应商评审表：包括供应商名称、种类、物料来源（制造商）、企业负责人、业务联系方式、评鉴方式、评鉴意见（相关部门）等内容。</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提供的供货商包括：</w:t>
            </w:r>
            <w:r>
              <w:rPr>
                <w:rFonts w:hint="eastAsia" w:ascii="宋体" w:hAnsi="宋体" w:cs="宋体"/>
                <w:sz w:val="24"/>
                <w:szCs w:val="24"/>
              </w:rPr>
              <w:t>临海市琦琦百货商店</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宋体" w:hAnsi="宋体"/>
                <w:sz w:val="24"/>
                <w:szCs w:val="24"/>
              </w:rPr>
              <w:t>办公用品</w:t>
            </w:r>
          </w:p>
          <w:p>
            <w:pPr>
              <w:pStyle w:val="2"/>
              <w:rPr>
                <w:rFonts w:hint="eastAsia" w:ascii="宋体" w:hAnsi="宋体" w:cs="宋体"/>
                <w:sz w:val="24"/>
                <w:szCs w:val="24"/>
                <w:lang w:val="en-US" w:eastAsia="zh-CN"/>
              </w:rPr>
            </w:pPr>
            <w:r>
              <w:rPr>
                <w:rFonts w:hint="eastAsia" w:ascii="宋体" w:hAnsi="宋体" w:cs="宋体"/>
                <w:sz w:val="24"/>
                <w:szCs w:val="24"/>
              </w:rPr>
              <w:t>临海市海望五金商行</w:t>
            </w:r>
            <w:r>
              <w:rPr>
                <w:rFonts w:hint="eastAsia" w:ascii="宋体" w:hAnsi="宋体" w:cs="宋体"/>
                <w:sz w:val="24"/>
                <w:szCs w:val="24"/>
                <w:lang w:val="en-US" w:eastAsia="zh-CN"/>
              </w:rPr>
              <w:tab/>
            </w:r>
            <w:r>
              <w:rPr>
                <w:rFonts w:hint="eastAsia" w:ascii="宋体" w:hAnsi="宋体" w:cs="宋体"/>
                <w:sz w:val="24"/>
                <w:szCs w:val="24"/>
              </w:rPr>
              <w:t>五金用品</w:t>
            </w:r>
          </w:p>
          <w:p>
            <w:pPr>
              <w:pStyle w:val="2"/>
              <w:rPr>
                <w:rFonts w:hint="eastAsia" w:ascii="宋体" w:hAnsi="宋体" w:cs="宋体"/>
                <w:sz w:val="24"/>
                <w:szCs w:val="24"/>
                <w:lang w:val="en-US" w:eastAsia="zh-CN"/>
              </w:rPr>
            </w:pPr>
            <w:r>
              <w:rPr>
                <w:rFonts w:hint="eastAsia" w:ascii="宋体" w:hAnsi="宋体" w:cs="宋体"/>
                <w:sz w:val="24"/>
                <w:szCs w:val="24"/>
              </w:rPr>
              <w:t>浙江茂顺贸易有限公司</w:t>
            </w:r>
            <w:r>
              <w:rPr>
                <w:rFonts w:hint="eastAsia" w:ascii="宋体" w:hAnsi="宋体" w:cs="宋体"/>
                <w:sz w:val="24"/>
                <w:szCs w:val="24"/>
                <w:lang w:val="en-US" w:eastAsia="zh-CN"/>
              </w:rPr>
              <w:tab/>
            </w:r>
            <w:r>
              <w:rPr>
                <w:rFonts w:hint="eastAsia" w:ascii="宋体" w:hAnsi="宋体" w:cs="宋体"/>
                <w:sz w:val="24"/>
                <w:szCs w:val="24"/>
              </w:rPr>
              <w:t>劳保用具</w:t>
            </w:r>
          </w:p>
          <w:p>
            <w:pPr>
              <w:pStyle w:val="2"/>
              <w:rPr>
                <w:rFonts w:hint="eastAsia" w:ascii="宋体" w:hAnsi="宋体" w:cs="宋体"/>
                <w:sz w:val="24"/>
                <w:szCs w:val="24"/>
                <w:lang w:val="en-US" w:eastAsia="zh-CN"/>
              </w:rPr>
            </w:pPr>
            <w:r>
              <w:rPr>
                <w:rFonts w:hint="eastAsia" w:ascii="宋体" w:hAnsi="宋体" w:cs="宋体"/>
                <w:sz w:val="24"/>
                <w:szCs w:val="24"/>
              </w:rPr>
              <w:t>路桥文斐服饰有限公司</w:t>
            </w:r>
            <w:r>
              <w:rPr>
                <w:rFonts w:hint="eastAsia" w:ascii="宋体" w:hAnsi="宋体" w:cs="宋体"/>
                <w:sz w:val="24"/>
                <w:szCs w:val="24"/>
                <w:lang w:val="en-US" w:eastAsia="zh-CN"/>
              </w:rPr>
              <w:tab/>
            </w:r>
            <w:r>
              <w:rPr>
                <w:rFonts w:hint="eastAsia" w:ascii="宋体" w:hAnsi="宋体" w:cs="宋体"/>
                <w:sz w:val="24"/>
                <w:szCs w:val="24"/>
              </w:rPr>
              <w:t>服饰用品</w:t>
            </w:r>
          </w:p>
          <w:p>
            <w:pPr>
              <w:pStyle w:val="2"/>
              <w:rPr>
                <w:rFonts w:hint="eastAsia" w:ascii="宋体" w:hAnsi="宋体" w:cs="宋体"/>
                <w:sz w:val="24"/>
                <w:szCs w:val="24"/>
                <w:lang w:val="en-US" w:eastAsia="zh-CN"/>
              </w:rPr>
            </w:pPr>
            <w:r>
              <w:rPr>
                <w:rFonts w:hint="eastAsia" w:ascii="宋体" w:hAnsi="宋体" w:cs="宋体"/>
                <w:sz w:val="24"/>
                <w:szCs w:val="24"/>
              </w:rPr>
              <w:t>京东自营店（上海圆迈贸易有限公司）各类商品</w:t>
            </w:r>
          </w:p>
          <w:p>
            <w:pPr>
              <w:pStyle w:val="2"/>
              <w:rPr>
                <w:rFonts w:hint="eastAsia" w:ascii="宋体" w:hAnsi="宋体" w:cs="宋体"/>
                <w:sz w:val="24"/>
                <w:szCs w:val="24"/>
                <w:lang w:val="en-US" w:eastAsia="zh-CN"/>
              </w:rPr>
            </w:pPr>
            <w:r>
              <w:rPr>
                <w:rFonts w:hint="eastAsia" w:ascii="宋体" w:hAnsi="宋体" w:cs="宋体"/>
                <w:sz w:val="24"/>
                <w:szCs w:val="24"/>
              </w:rPr>
              <w:t>台州上欣环境服务有限公司</w:t>
            </w:r>
            <w:r>
              <w:rPr>
                <w:rFonts w:hint="eastAsia" w:ascii="宋体" w:hAnsi="宋体" w:cs="宋体"/>
                <w:sz w:val="24"/>
                <w:szCs w:val="24"/>
                <w:lang w:val="en-US" w:eastAsia="zh-CN"/>
              </w:rPr>
              <w:t xml:space="preserve">   </w:t>
            </w:r>
            <w:r>
              <w:rPr>
                <w:rFonts w:hint="eastAsia" w:ascii="宋体" w:hAnsi="宋体" w:cs="宋体"/>
                <w:sz w:val="24"/>
                <w:szCs w:val="24"/>
              </w:rPr>
              <w:t>办公耗材</w:t>
            </w:r>
            <w:r>
              <w:rPr>
                <w:rFonts w:hint="eastAsia" w:ascii="宋体" w:hAnsi="宋体" w:cs="宋体"/>
                <w:sz w:val="24"/>
                <w:szCs w:val="24"/>
                <w:lang w:val="en-US" w:eastAsia="zh-CN"/>
              </w:rPr>
              <w:t>等</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对供应商进行评审，建立合格供应商清单。符合要求。</w:t>
            </w:r>
          </w:p>
          <w:p>
            <w:pPr>
              <w:pStyle w:val="2"/>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                                                                                                                                                    </w:t>
            </w:r>
          </w:p>
          <w:p>
            <w:pPr>
              <w:pStyle w:val="2"/>
              <w:rPr>
                <w:rFonts w:hint="default" w:asciiTheme="minorEastAsia" w:hAnsiTheme="minorEastAsia" w:eastAsiaTheme="minorEastAsia" w:cstheme="minorEastAsia"/>
                <w:bCs w:val="0"/>
                <w:spacing w:val="0"/>
                <w:kern w:val="2"/>
                <w:sz w:val="21"/>
                <w:szCs w:val="21"/>
                <w:highlight w:val="none"/>
                <w:lang w:val="en-US" w:eastAsia="zh-CN" w:bidi="ar-SA"/>
              </w:rPr>
            </w:pPr>
            <w:r>
              <w:rPr>
                <w:rFonts w:hint="default" w:asciiTheme="minorEastAsia" w:hAnsiTheme="minorEastAsia" w:eastAsiaTheme="minorEastAsia" w:cstheme="minorEastAsia"/>
                <w:bCs w:val="0"/>
                <w:spacing w:val="0"/>
                <w:kern w:val="2"/>
                <w:sz w:val="21"/>
                <w:szCs w:val="21"/>
                <w:highlight w:val="none"/>
                <w:lang w:val="en-US" w:eastAsia="zh-CN" w:bidi="ar-SA"/>
              </w:rPr>
              <w:t>……</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进厂的采购产品，由采购部按合同核对数量、材质单、合格证，验证规格、型号后，在入库单上签字。</w:t>
            </w:r>
          </w:p>
          <w:p>
            <w:pPr>
              <w:pStyle w:val="2"/>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——查采购产品的数量； </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分包项目主要为物业管理过程中的保安服务，分包方为：台州市东部保安服务有限公司；</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提供评价材料：</w:t>
            </w:r>
          </w:p>
          <w:p>
            <w:pPr>
              <w:pStyle w:val="2"/>
              <w:numPr>
                <w:ilvl w:val="0"/>
                <w:numId w:val="3"/>
              </w:numPr>
              <w:ind w:firstLine="23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浙江省公司厅发的保安服务许可证； </w:t>
            </w:r>
          </w:p>
          <w:p>
            <w:pPr>
              <w:pStyle w:val="2"/>
              <w:numPr>
                <w:ilvl w:val="0"/>
                <w:numId w:val="3"/>
              </w:numPr>
              <w:ind w:firstLine="230" w:firstLineChars="1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营业执照； </w:t>
            </w:r>
          </w:p>
          <w:p>
            <w:pPr>
              <w:pStyle w:val="2"/>
              <w:numPr>
                <w:ilvl w:val="0"/>
                <w:numId w:val="3"/>
              </w:numPr>
              <w:ind w:firstLine="230" w:firstLineChars="1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劳务派遗经营许可证； </w:t>
            </w:r>
          </w:p>
          <w:p>
            <w:pPr>
              <w:pStyle w:val="2"/>
              <w:numPr>
                <w:ilvl w:val="0"/>
                <w:numId w:val="3"/>
              </w:numPr>
              <w:ind w:firstLine="230" w:firstLineChars="1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服务协议书</w:t>
            </w:r>
          </w:p>
          <w:p>
            <w:pPr>
              <w:pStyle w:val="2"/>
              <w:rPr>
                <w:rFonts w:hint="default" w:asciiTheme="minorEastAsia" w:hAnsiTheme="minorEastAsia" w:eastAsiaTheme="minorEastAsia" w:cstheme="minorEastAsia"/>
                <w:color w:val="auto"/>
                <w:sz w:val="21"/>
                <w:szCs w:val="21"/>
                <w:highlight w:val="red"/>
                <w:lang w:val="en-US" w:eastAsia="zh-CN"/>
              </w:rPr>
            </w:pPr>
          </w:p>
          <w:p>
            <w:pPr>
              <w:pStyle w:val="2"/>
              <w:rPr>
                <w:rFonts w:hint="default" w:asciiTheme="minorEastAsia" w:hAnsiTheme="minorEastAsia" w:eastAsiaTheme="minorEastAsia" w:cstheme="minorEastAsia"/>
                <w:color w:val="auto"/>
                <w:sz w:val="21"/>
                <w:szCs w:val="21"/>
                <w:highlight w:val="red"/>
                <w:lang w:val="en-US" w:eastAsia="zh-CN"/>
              </w:rPr>
            </w:pPr>
            <w:r>
              <w:rPr>
                <w:rFonts w:hint="eastAsia" w:asciiTheme="minorEastAsia" w:hAnsiTheme="minorEastAsia" w:eastAsiaTheme="minorEastAsia" w:cstheme="minorEastAsia"/>
                <w:color w:val="auto"/>
                <w:sz w:val="21"/>
                <w:szCs w:val="21"/>
                <w:highlight w:val="red"/>
                <w:lang w:val="en-US" w:eastAsia="zh-CN"/>
              </w:rPr>
              <w:t>但未将台州市东部保安服务有限公司列入供应商名录，未提供供应商评审表。</w:t>
            </w:r>
          </w:p>
        </w:tc>
        <w:tc>
          <w:tcPr>
            <w:tcW w:w="732" w:type="dxa"/>
          </w:tcPr>
          <w:p>
            <w:pPr>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风险管控的策划和实施</w:t>
            </w:r>
          </w:p>
        </w:tc>
        <w:tc>
          <w:tcPr>
            <w:tcW w:w="965"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QEO6.1</w:t>
            </w:r>
          </w:p>
        </w:tc>
        <w:tc>
          <w:tcPr>
            <w:tcW w:w="10927" w:type="dxa"/>
            <w:vAlign w:val="top"/>
          </w:tcPr>
          <w:p>
            <w:pPr>
              <w:pStyle w:val="2"/>
              <w:rPr>
                <w:rFonts w:hint="eastAsia" w:asciiTheme="minorEastAsia" w:hAnsiTheme="minorEastAsia" w:eastAsiaTheme="minorEastAsia" w:cstheme="minorEastAsia"/>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公司编制了《SXCS/CX-C-15风险和机遇分析、评价和应对措施的确定程序》。 风险管理流程：风险识别——风险评估——风险响应——风险控制。</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提供风险和机遇评估分析表,对识别的风险和机遇进行评估，并制定了应对风险及机遇的措施。措施有效</w:t>
            </w:r>
            <w:r>
              <w:rPr>
                <w:rFonts w:hint="eastAsia" w:asciiTheme="minorEastAsia" w:hAnsiTheme="minorEastAsia" w:eastAsiaTheme="minorEastAsia" w:cstheme="minorEastAsia"/>
                <w:color w:val="auto"/>
                <w:sz w:val="21"/>
                <w:szCs w:val="21"/>
                <w:highlight w:val="none"/>
                <w:lang w:val="en-US" w:eastAsia="zh-CN"/>
              </w:rPr>
              <w:t>。</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EO:6.1.2/6.1.4</w:t>
            </w:r>
          </w:p>
        </w:tc>
        <w:tc>
          <w:tcPr>
            <w:tcW w:w="10927" w:type="dxa"/>
            <w:vAlign w:val="top"/>
          </w:tcPr>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详见项目部的办公场所审核记录。</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spacing w:line="360" w:lineRule="auto"/>
              <w:rPr>
                <w:szCs w:val="21"/>
                <w:u w:val="none"/>
              </w:rPr>
            </w:pPr>
            <w:r>
              <w:rPr>
                <w:rFonts w:hint="eastAsia"/>
                <w:szCs w:val="21"/>
                <w:u w:val="none"/>
              </w:rPr>
              <w:t>运行策划和控制</w:t>
            </w:r>
          </w:p>
          <w:p>
            <w:pPr>
              <w:spacing w:line="360" w:lineRule="auto"/>
              <w:rPr>
                <w:rFonts w:hint="eastAsia" w:ascii="Times New Roman" w:hAnsi="Times New Roman" w:eastAsia="宋体" w:cs="Times New Roman"/>
                <w:b/>
                <w:kern w:val="2"/>
                <w:sz w:val="21"/>
                <w:szCs w:val="21"/>
                <w:u w:val="none"/>
                <w:lang w:val="en-US" w:eastAsia="zh-CN" w:bidi="ar-SA"/>
              </w:rPr>
            </w:pPr>
          </w:p>
        </w:tc>
        <w:tc>
          <w:tcPr>
            <w:tcW w:w="965" w:type="dxa"/>
            <w:vAlign w:val="top"/>
          </w:tcPr>
          <w:p>
            <w:pPr>
              <w:spacing w:line="360" w:lineRule="auto"/>
              <w:rPr>
                <w:rFonts w:hint="eastAsia" w:ascii="Times New Roman" w:hAnsi="Times New Roman" w:eastAsia="宋体" w:cs="Times New Roman"/>
                <w:b/>
                <w:kern w:val="2"/>
                <w:sz w:val="21"/>
                <w:szCs w:val="21"/>
                <w:u w:val="none"/>
                <w:lang w:val="en-US" w:eastAsia="zh-CN" w:bidi="ar-SA"/>
              </w:rPr>
            </w:pPr>
            <w:r>
              <w:rPr>
                <w:rFonts w:hint="eastAsia"/>
                <w:szCs w:val="21"/>
                <w:u w:val="none"/>
              </w:rPr>
              <w:t>E</w:t>
            </w:r>
            <w:r>
              <w:rPr>
                <w:szCs w:val="21"/>
                <w:u w:val="none"/>
              </w:rPr>
              <w:t>O</w:t>
            </w:r>
            <w:r>
              <w:rPr>
                <w:rFonts w:hint="eastAsia"/>
                <w:szCs w:val="21"/>
                <w:u w:val="none"/>
              </w:rPr>
              <w:t>8.1</w:t>
            </w:r>
          </w:p>
        </w:tc>
        <w:tc>
          <w:tcPr>
            <w:tcW w:w="10927" w:type="dxa"/>
            <w:vAlign w:val="center"/>
          </w:tcPr>
          <w:p>
            <w:pPr>
              <w:spacing w:line="360" w:lineRule="auto"/>
              <w:ind w:firstLine="420" w:firstLineChars="200"/>
              <w:rPr>
                <w:rFonts w:hint="eastAsia"/>
              </w:rPr>
            </w:pPr>
            <w:r>
              <w:rPr>
                <w:rFonts w:hint="eastAsia"/>
              </w:rPr>
              <w:t>编制与环境、安全管理体系运行控制有关的文件有《环境因素识别与评价管理程序》、《危险源辨识与风险评价控制措施管理程序》、《对相关方施加影响管理程序》等。</w:t>
            </w:r>
          </w:p>
          <w:p>
            <w:pPr>
              <w:spacing w:line="360" w:lineRule="auto"/>
              <w:ind w:firstLine="420" w:firstLineChars="200"/>
            </w:pPr>
            <w:r>
              <w:rPr>
                <w:rFonts w:hint="eastAsia"/>
              </w:rPr>
              <w:t>1、废水管控</w:t>
            </w:r>
          </w:p>
          <w:p>
            <w:pPr>
              <w:spacing w:line="360" w:lineRule="auto"/>
              <w:ind w:firstLine="420" w:firstLineChars="200"/>
              <w:rPr>
                <w:rFonts w:hint="eastAsia"/>
              </w:rPr>
            </w:pPr>
            <w:r>
              <w:rPr>
                <w:rFonts w:hint="eastAsia"/>
              </w:rPr>
              <w:t>主要生活废水排入政府污水管网统一处理。</w:t>
            </w:r>
          </w:p>
          <w:p>
            <w:pPr>
              <w:spacing w:line="360" w:lineRule="auto"/>
              <w:ind w:firstLine="420" w:firstLineChars="200"/>
            </w:pPr>
            <w:r>
              <w:rPr>
                <w:rFonts w:hint="eastAsia"/>
              </w:rPr>
              <w:t>2、固废管控</w:t>
            </w:r>
          </w:p>
          <w:p>
            <w:pPr>
              <w:spacing w:line="360" w:lineRule="auto"/>
              <w:ind w:firstLine="420" w:firstLineChars="200"/>
              <w:rPr>
                <w:rFonts w:hint="default"/>
                <w:lang w:val="en-US" w:eastAsia="zh-CN"/>
              </w:rPr>
            </w:pPr>
            <w:r>
              <w:rPr>
                <w:rFonts w:hint="eastAsia"/>
                <w:lang w:val="en-US" w:eastAsia="zh-CN"/>
              </w:rPr>
              <w:t>生活垃圾，办公室有垃圾篓集中倒入垃圾站，由公司项目部送至统一地点集中处理。危废（墨盒、硒鼓、灯管）排放由供应商回收处置；</w:t>
            </w:r>
          </w:p>
          <w:p>
            <w:pPr>
              <w:pStyle w:val="26"/>
              <w:numPr>
                <w:ilvl w:val="0"/>
                <w:numId w:val="4"/>
              </w:numPr>
              <w:spacing w:line="360" w:lineRule="auto"/>
              <w:ind w:firstLineChars="0"/>
            </w:pPr>
            <w:r>
              <w:rPr>
                <w:rFonts w:hint="eastAsia"/>
              </w:rPr>
              <w:t>能源资源管控</w:t>
            </w:r>
          </w:p>
          <w:p>
            <w:pPr>
              <w:spacing w:line="360" w:lineRule="auto"/>
              <w:ind w:firstLine="420" w:firstLineChars="200"/>
            </w:pPr>
            <w:r>
              <w:rPr>
                <w:rFonts w:hint="eastAsia"/>
              </w:rPr>
              <w:t>销售过程注意节水、节电、节油，人走关闭开关，未发现有漏水和浪费电能的现象。</w:t>
            </w:r>
          </w:p>
          <w:p>
            <w:pPr>
              <w:spacing w:line="240" w:lineRule="exact"/>
              <w:ind w:leftChars="200"/>
              <w:jc w:val="left"/>
              <w:rPr>
                <w:rFonts w:hint="eastAsia"/>
                <w:lang w:eastAsia="zh-CN"/>
              </w:rPr>
            </w:pPr>
            <w:r>
              <w:t>4</w:t>
            </w:r>
            <w:r>
              <w:rPr>
                <w:rFonts w:hint="eastAsia"/>
              </w:rPr>
              <w:t>、潜在火灾管控</w:t>
            </w:r>
          </w:p>
          <w:p>
            <w:pPr>
              <w:spacing w:line="360" w:lineRule="auto"/>
              <w:ind w:firstLine="420" w:firstLineChars="200"/>
              <w:rPr>
                <w:rFonts w:hint="eastAsia"/>
                <w:lang w:val="en-US" w:eastAsia="zh-CN"/>
              </w:rPr>
            </w:pPr>
            <w:r>
              <w:rPr>
                <w:rFonts w:hint="eastAsia"/>
                <w:lang w:val="en-US" w:eastAsia="zh-CN"/>
              </w:rPr>
              <w:t>公司综合办公室现场配有灭火器和应急预案。办公楼配备了消防栓和灭火器，状态有效，公司办公室办公区域和供水站内配置灭火器，维护保养的道路设有消防栓。</w:t>
            </w:r>
          </w:p>
          <w:p>
            <w:pPr>
              <w:spacing w:line="360" w:lineRule="auto"/>
              <w:ind w:firstLine="420" w:firstLineChars="200"/>
              <w:rPr>
                <w:rFonts w:hint="eastAsia"/>
                <w:lang w:val="en-US" w:eastAsia="zh-CN"/>
              </w:rPr>
            </w:pPr>
            <w:r>
              <w:rPr>
                <w:rFonts w:hint="eastAsia"/>
                <w:lang w:val="en-US" w:eastAsia="zh-CN"/>
              </w:rPr>
              <w:t>5、触电安全防护：</w:t>
            </w:r>
          </w:p>
          <w:p>
            <w:pPr>
              <w:spacing w:line="360" w:lineRule="auto"/>
              <w:ind w:firstLine="420" w:firstLineChars="200"/>
              <w:rPr>
                <w:rFonts w:hint="eastAsia"/>
                <w:lang w:val="en-US" w:eastAsia="zh-CN"/>
              </w:rPr>
            </w:pPr>
            <w:r>
              <w:rPr>
                <w:rFonts w:hint="eastAsia"/>
                <w:lang w:val="en-US" w:eastAsia="zh-CN"/>
              </w:rPr>
              <w:t>现场电线布线合理，漏电保护器状态良好。</w:t>
            </w:r>
          </w:p>
          <w:p>
            <w:pPr>
              <w:spacing w:line="360" w:lineRule="auto"/>
              <w:ind w:firstLine="420" w:firstLineChars="200"/>
            </w:pPr>
            <w:r>
              <w:rPr>
                <w:rFonts w:hint="eastAsia"/>
                <w:lang w:val="en-US" w:eastAsia="zh-CN"/>
              </w:rPr>
              <w:t>6、</w:t>
            </w:r>
            <w:r>
              <w:rPr>
                <w:rFonts w:hint="eastAsia"/>
              </w:rPr>
              <w:t>安全防护</w:t>
            </w:r>
          </w:p>
          <w:p>
            <w:pPr>
              <w:spacing w:line="360" w:lineRule="auto"/>
              <w:ind w:firstLine="420" w:firstLineChars="200"/>
              <w:rPr>
                <w:rFonts w:hint="eastAsia"/>
              </w:rPr>
            </w:pPr>
            <w:r>
              <w:rPr>
                <w:rFonts w:hint="eastAsia"/>
              </w:rPr>
              <w:t>疫情期间进出公司人员进行温度登记，查看健康码，公司给员工发放口罩等劳保用品，不允许私拉乱扔。</w:t>
            </w:r>
          </w:p>
          <w:p>
            <w:pPr>
              <w:pStyle w:val="2"/>
              <w:numPr>
                <w:ilvl w:val="0"/>
                <w:numId w:val="0"/>
              </w:numPr>
              <w:ind w:leftChars="0" w:firstLine="460" w:firstLineChars="200"/>
              <w:rPr>
                <w:rFonts w:hint="eastAsia"/>
                <w:szCs w:val="21"/>
                <w:u w:val="none"/>
                <w:lang w:val="en-US" w:eastAsia="zh-CN"/>
              </w:rPr>
            </w:pPr>
            <w:r>
              <w:rPr>
                <w:rFonts w:hint="eastAsia"/>
                <w:szCs w:val="21"/>
                <w:u w:val="none"/>
                <w:lang w:val="en-US" w:eastAsia="zh-CN"/>
              </w:rPr>
              <w:t>7、相关方影响</w:t>
            </w:r>
          </w:p>
          <w:p>
            <w:pPr>
              <w:pStyle w:val="2"/>
              <w:rPr>
                <w:rFonts w:hint="default" w:eastAsia="宋体"/>
                <w:lang w:val="en-US" w:eastAsia="zh-CN"/>
              </w:rPr>
            </w:pPr>
            <w:r>
              <w:rPr>
                <w:rFonts w:hint="eastAsia"/>
                <w:szCs w:val="21"/>
                <w:u w:val="none"/>
                <w:lang w:val="en-US" w:eastAsia="zh-CN"/>
              </w:rPr>
              <w:t xml:space="preserve">    编制相关方环境及职业健康安全影响告知书；主要涉及固废分类、存放处理的建议、噪声控制建议、防火措施建议等；  并提供临海市琦琦百货商店 、临海市海望五金商行、 浙江茂顺贸易有限公司等供方的告知书； </w:t>
            </w:r>
          </w:p>
          <w:p>
            <w:pPr>
              <w:pStyle w:val="2"/>
              <w:rPr>
                <w:rFonts w:hint="eastAsia" w:ascii="Times New Roman" w:hAnsi="Times New Roman" w:eastAsia="宋体" w:cs="Times New Roman"/>
                <w:bCs/>
                <w:spacing w:val="10"/>
                <w:kern w:val="2"/>
                <w:sz w:val="21"/>
                <w:lang w:val="en-US" w:eastAsia="zh-CN" w:bidi="ar-SA"/>
              </w:rPr>
            </w:pPr>
            <w:r>
              <w:rPr>
                <w:rFonts w:hint="eastAsia"/>
                <w:szCs w:val="21"/>
                <w:u w:val="none"/>
                <w:lang w:val="en-US" w:eastAsia="zh-CN"/>
              </w:rPr>
              <w:t xml:space="preserve">   </w:t>
            </w:r>
            <w:bookmarkStart w:id="0" w:name="_GoBack"/>
            <w:bookmarkEnd w:id="0"/>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spacing w:line="360" w:lineRule="auto"/>
              <w:rPr>
                <w:rFonts w:hint="eastAsia" w:ascii="Times New Roman" w:hAnsi="Times New Roman" w:eastAsia="宋体" w:cs="Times New Roman"/>
                <w:b/>
                <w:kern w:val="2"/>
                <w:sz w:val="21"/>
                <w:szCs w:val="21"/>
                <w:u w:val="none"/>
                <w:lang w:val="en-US" w:eastAsia="zh-CN" w:bidi="ar-SA"/>
              </w:rPr>
            </w:pPr>
            <w:r>
              <w:rPr>
                <w:rFonts w:hint="eastAsia" w:ascii="宋体" w:hAnsi="宋体" w:cs="宋体"/>
                <w:szCs w:val="21"/>
                <w:u w:val="none"/>
              </w:rPr>
              <w:t>应急响应和准备</w:t>
            </w:r>
          </w:p>
        </w:tc>
        <w:tc>
          <w:tcPr>
            <w:tcW w:w="965" w:type="dxa"/>
            <w:vAlign w:val="top"/>
          </w:tcPr>
          <w:p>
            <w:pPr>
              <w:spacing w:line="360" w:lineRule="auto"/>
              <w:rPr>
                <w:rFonts w:hint="eastAsia" w:ascii="Times New Roman" w:hAnsi="Times New Roman" w:eastAsia="宋体" w:cs="Times New Roman"/>
                <w:kern w:val="2"/>
                <w:sz w:val="21"/>
                <w:szCs w:val="21"/>
                <w:u w:val="none"/>
                <w:lang w:val="en-US" w:eastAsia="zh-CN" w:bidi="ar-SA"/>
              </w:rPr>
            </w:pPr>
            <w:r>
              <w:rPr>
                <w:rFonts w:hint="eastAsia"/>
                <w:szCs w:val="21"/>
                <w:u w:val="none"/>
              </w:rPr>
              <w:t>E</w:t>
            </w:r>
            <w:r>
              <w:rPr>
                <w:szCs w:val="21"/>
                <w:u w:val="none"/>
              </w:rPr>
              <w:t>O</w:t>
            </w:r>
            <w:r>
              <w:rPr>
                <w:rFonts w:hint="eastAsia"/>
                <w:szCs w:val="21"/>
                <w:u w:val="none"/>
              </w:rPr>
              <w:t>8.2</w:t>
            </w:r>
          </w:p>
        </w:tc>
        <w:tc>
          <w:tcPr>
            <w:tcW w:w="10927" w:type="dxa"/>
            <w:vAlign w:val="center"/>
          </w:tcPr>
          <w:p>
            <w:pPr>
              <w:pStyle w:val="29"/>
              <w:spacing w:line="360" w:lineRule="auto"/>
              <w:rPr>
                <w:sz w:val="21"/>
                <w:szCs w:val="21"/>
                <w:u w:val="none"/>
              </w:rPr>
            </w:pPr>
            <w:r>
              <w:rPr>
                <w:rFonts w:hint="eastAsia"/>
                <w:sz w:val="21"/>
                <w:szCs w:val="21"/>
                <w:u w:val="none"/>
              </w:rPr>
              <w:t>编制了《应急准备和响应管理程序》，查看内容基本符合要求。</w:t>
            </w:r>
          </w:p>
          <w:p>
            <w:pPr>
              <w:pStyle w:val="29"/>
              <w:spacing w:line="360" w:lineRule="auto"/>
              <w:ind w:firstLineChars="0"/>
              <w:rPr>
                <w:sz w:val="21"/>
                <w:szCs w:val="21"/>
                <w:u w:val="none"/>
              </w:rPr>
            </w:pPr>
            <w:r>
              <w:rPr>
                <w:rFonts w:hint="eastAsia"/>
                <w:sz w:val="21"/>
                <w:szCs w:val="21"/>
                <w:u w:val="none"/>
                <w:lang w:val="en-US" w:eastAsia="zh-CN"/>
              </w:rPr>
              <w:t>按公司的</w:t>
            </w:r>
            <w:r>
              <w:rPr>
                <w:rFonts w:hint="eastAsia"/>
                <w:sz w:val="21"/>
                <w:szCs w:val="21"/>
                <w:u w:val="none"/>
              </w:rPr>
              <w:t>应急预案包括触电、火灾、中暑等应急预案。</w:t>
            </w:r>
          </w:p>
          <w:p>
            <w:pPr>
              <w:pStyle w:val="29"/>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部门参加公司进行了消防灭火和触电演练。</w:t>
            </w:r>
          </w:p>
          <w:p>
            <w:pPr>
              <w:pStyle w:val="29"/>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查消防灭火演练，演练时间2020年9月20日，地点：物业项目部，对演练过程进行了描述，并对预案的有效性进行了评价。</w:t>
            </w:r>
          </w:p>
          <w:p>
            <w:pPr>
              <w:pStyle w:val="29"/>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查到医疗急救应急演练，演练时间：2020年9月20日，地点：物业项目部； 对演练过程进行了描述，并对预案的有效性进行了评价。</w:t>
            </w:r>
          </w:p>
          <w:p>
            <w:pPr>
              <w:pStyle w:val="29"/>
              <w:spacing w:line="360" w:lineRule="auto"/>
              <w:ind w:firstLine="420" w:firstLineChars="0"/>
              <w:rPr>
                <w:rFonts w:hint="eastAsia" w:ascii="Calibri" w:hAnsi="Calibri" w:eastAsia="宋体" w:cs="Times New Roman"/>
                <w:kern w:val="2"/>
                <w:sz w:val="24"/>
                <w:szCs w:val="21"/>
                <w:u w:val="none"/>
                <w:lang w:val="en-US" w:eastAsia="zh-CN" w:bidi="ar-SA"/>
              </w:rPr>
            </w:pPr>
            <w:r>
              <w:rPr>
                <w:rFonts w:hint="eastAsia" w:cs="Times New Roman"/>
                <w:sz w:val="21"/>
                <w:szCs w:val="21"/>
                <w:u w:val="none"/>
                <w:lang w:val="en-US" w:eastAsia="zh-CN"/>
              </w:rPr>
              <w:t>部门目前未发生火灾、触电人身伤害等事故。</w:t>
            </w:r>
          </w:p>
        </w:tc>
        <w:tc>
          <w:tcPr>
            <w:tcW w:w="732" w:type="dxa"/>
          </w:tcPr>
          <w:p>
            <w:pPr>
              <w:rPr>
                <w:rFonts w:hint="eastAsia" w:asciiTheme="minorEastAsia" w:hAnsiTheme="minorEastAsia" w:eastAsiaTheme="minorEastAsia" w:cstheme="minorEastAsia"/>
                <w:sz w:val="21"/>
                <w:szCs w:val="21"/>
              </w:rPr>
            </w:pPr>
          </w:p>
        </w:tc>
      </w:tr>
    </w:tbl>
    <w:p>
      <w:pPr>
        <w:pStyle w:val="11"/>
        <w:rPr>
          <w:rFonts w:hint="eastAsia"/>
        </w:rPr>
      </w:pPr>
    </w:p>
    <w:p>
      <w:pPr>
        <w:pStyle w:val="11"/>
        <w:rPr>
          <w:rFonts w:hint="eastAsia"/>
        </w:rPr>
      </w:pPr>
    </w:p>
    <w:p>
      <w:pPr>
        <w:pStyle w:val="11"/>
        <w:rPr>
          <w:rFonts w:hint="eastAsia"/>
        </w:rPr>
      </w:pPr>
    </w:p>
    <w:p>
      <w:pPr>
        <w:pStyle w:val="2"/>
        <w:rPr>
          <w:rFonts w:hint="eastAsia"/>
          <w:lang w:val="en-US" w:eastAsia="zh-CN"/>
        </w:rPr>
      </w:pPr>
    </w:p>
    <w:p>
      <w:pPr>
        <w:pStyle w:val="11"/>
        <w:rPr>
          <w:rFonts w:hint="eastAsia"/>
        </w:rPr>
      </w:pPr>
    </w:p>
    <w:p>
      <w:pP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br w:type="page"/>
      </w:r>
    </w:p>
    <w:p>
      <w:pPr>
        <w:pStyle w:val="11"/>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2"/>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5"/>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F494E82"/>
    <w:multiLevelType w:val="multilevel"/>
    <w:tmpl w:val="2F494E82"/>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88C98E1"/>
    <w:multiLevelType w:val="singleLevel"/>
    <w:tmpl w:val="388C98E1"/>
    <w:lvl w:ilvl="0" w:tentative="0">
      <w:start w:val="1"/>
      <w:numFmt w:val="decimal"/>
      <w:suff w:val="nothing"/>
      <w:lvlText w:val="%1）"/>
      <w:lvlJc w:val="left"/>
    </w:lvl>
  </w:abstractNum>
  <w:abstractNum w:abstractNumId="3">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3905"/>
    <w:rsid w:val="007B3DAF"/>
    <w:rsid w:val="00DB72B2"/>
    <w:rsid w:val="00ED266B"/>
    <w:rsid w:val="00F43426"/>
    <w:rsid w:val="00F72ABE"/>
    <w:rsid w:val="010F4C60"/>
    <w:rsid w:val="01E3771F"/>
    <w:rsid w:val="024F1167"/>
    <w:rsid w:val="027A5C11"/>
    <w:rsid w:val="02B74B3F"/>
    <w:rsid w:val="03314A7D"/>
    <w:rsid w:val="03971E0B"/>
    <w:rsid w:val="03BF4DF3"/>
    <w:rsid w:val="04476F14"/>
    <w:rsid w:val="0458744E"/>
    <w:rsid w:val="050D203E"/>
    <w:rsid w:val="050F7AD6"/>
    <w:rsid w:val="0515091E"/>
    <w:rsid w:val="056F513E"/>
    <w:rsid w:val="05F12FC1"/>
    <w:rsid w:val="06276BA1"/>
    <w:rsid w:val="071E0BD8"/>
    <w:rsid w:val="071E5396"/>
    <w:rsid w:val="07252F75"/>
    <w:rsid w:val="07511AB9"/>
    <w:rsid w:val="077168B6"/>
    <w:rsid w:val="07760118"/>
    <w:rsid w:val="07DD4098"/>
    <w:rsid w:val="08151499"/>
    <w:rsid w:val="08193D3A"/>
    <w:rsid w:val="085F30D4"/>
    <w:rsid w:val="0872572E"/>
    <w:rsid w:val="0875081F"/>
    <w:rsid w:val="08870786"/>
    <w:rsid w:val="08F215E2"/>
    <w:rsid w:val="09296E07"/>
    <w:rsid w:val="09B01C49"/>
    <w:rsid w:val="09E31136"/>
    <w:rsid w:val="09EB1CAA"/>
    <w:rsid w:val="0A165B13"/>
    <w:rsid w:val="0A7372D5"/>
    <w:rsid w:val="0AAD3E63"/>
    <w:rsid w:val="0ABE51AD"/>
    <w:rsid w:val="0B063520"/>
    <w:rsid w:val="0B59105B"/>
    <w:rsid w:val="0BED6A15"/>
    <w:rsid w:val="0C1A06B5"/>
    <w:rsid w:val="0C361B65"/>
    <w:rsid w:val="0C3B40FC"/>
    <w:rsid w:val="0CE5132C"/>
    <w:rsid w:val="0D0518EE"/>
    <w:rsid w:val="0D444194"/>
    <w:rsid w:val="0D4B347F"/>
    <w:rsid w:val="0D570C8A"/>
    <w:rsid w:val="0DDC4A26"/>
    <w:rsid w:val="0E04283D"/>
    <w:rsid w:val="0F033D06"/>
    <w:rsid w:val="0F9C26D4"/>
    <w:rsid w:val="10146BF1"/>
    <w:rsid w:val="104F6DAF"/>
    <w:rsid w:val="107D501B"/>
    <w:rsid w:val="10B27CAD"/>
    <w:rsid w:val="11273C0B"/>
    <w:rsid w:val="1174748E"/>
    <w:rsid w:val="11915D99"/>
    <w:rsid w:val="11EC7CB4"/>
    <w:rsid w:val="120C44D2"/>
    <w:rsid w:val="121C34B5"/>
    <w:rsid w:val="130F1D4C"/>
    <w:rsid w:val="134C3D0E"/>
    <w:rsid w:val="138C3317"/>
    <w:rsid w:val="13A84DED"/>
    <w:rsid w:val="13B66175"/>
    <w:rsid w:val="13ED22A6"/>
    <w:rsid w:val="13FB79B0"/>
    <w:rsid w:val="140B4438"/>
    <w:rsid w:val="14496629"/>
    <w:rsid w:val="1492636B"/>
    <w:rsid w:val="14A062F4"/>
    <w:rsid w:val="16D67ED2"/>
    <w:rsid w:val="16E26F0E"/>
    <w:rsid w:val="16F02E90"/>
    <w:rsid w:val="17062B69"/>
    <w:rsid w:val="182164BB"/>
    <w:rsid w:val="188972CF"/>
    <w:rsid w:val="18B95C0D"/>
    <w:rsid w:val="18D068A4"/>
    <w:rsid w:val="19122210"/>
    <w:rsid w:val="194A1301"/>
    <w:rsid w:val="195576C8"/>
    <w:rsid w:val="19CA6AEA"/>
    <w:rsid w:val="1A4A1F1B"/>
    <w:rsid w:val="1AB22DB0"/>
    <w:rsid w:val="1B04548A"/>
    <w:rsid w:val="1B3A1DD3"/>
    <w:rsid w:val="1C4D73A6"/>
    <w:rsid w:val="1C984EA9"/>
    <w:rsid w:val="1CF54D0D"/>
    <w:rsid w:val="1D173593"/>
    <w:rsid w:val="1D5510E6"/>
    <w:rsid w:val="1D8927A9"/>
    <w:rsid w:val="1DAA697C"/>
    <w:rsid w:val="1DBC259A"/>
    <w:rsid w:val="1DFC4614"/>
    <w:rsid w:val="1E57661E"/>
    <w:rsid w:val="1E8D2F4B"/>
    <w:rsid w:val="1F5A25AA"/>
    <w:rsid w:val="1F87166B"/>
    <w:rsid w:val="20093412"/>
    <w:rsid w:val="20221AB6"/>
    <w:rsid w:val="206320A6"/>
    <w:rsid w:val="20641CD2"/>
    <w:rsid w:val="206D5617"/>
    <w:rsid w:val="209C2F82"/>
    <w:rsid w:val="20D87DD3"/>
    <w:rsid w:val="21333CB9"/>
    <w:rsid w:val="215B5EE3"/>
    <w:rsid w:val="2170552A"/>
    <w:rsid w:val="21725EAA"/>
    <w:rsid w:val="21BD1856"/>
    <w:rsid w:val="21F775B6"/>
    <w:rsid w:val="21FE778F"/>
    <w:rsid w:val="222511D3"/>
    <w:rsid w:val="222A7E1E"/>
    <w:rsid w:val="22A33E3D"/>
    <w:rsid w:val="23C53F61"/>
    <w:rsid w:val="24AF1061"/>
    <w:rsid w:val="2528193B"/>
    <w:rsid w:val="25444A65"/>
    <w:rsid w:val="264941D1"/>
    <w:rsid w:val="26703415"/>
    <w:rsid w:val="268F7A4C"/>
    <w:rsid w:val="26A21C12"/>
    <w:rsid w:val="26E32CAC"/>
    <w:rsid w:val="27416481"/>
    <w:rsid w:val="276F23A0"/>
    <w:rsid w:val="277F67AF"/>
    <w:rsid w:val="27C231BC"/>
    <w:rsid w:val="280C386E"/>
    <w:rsid w:val="283C5AAF"/>
    <w:rsid w:val="28AC6FA1"/>
    <w:rsid w:val="28AD7F2A"/>
    <w:rsid w:val="290772D8"/>
    <w:rsid w:val="29526A59"/>
    <w:rsid w:val="29991719"/>
    <w:rsid w:val="29DB75AB"/>
    <w:rsid w:val="2A0F693C"/>
    <w:rsid w:val="2A4B79CF"/>
    <w:rsid w:val="2A583BDC"/>
    <w:rsid w:val="2B846F6E"/>
    <w:rsid w:val="2BDE2DFD"/>
    <w:rsid w:val="2C1F26D0"/>
    <w:rsid w:val="2C3D292E"/>
    <w:rsid w:val="2C477944"/>
    <w:rsid w:val="2C681735"/>
    <w:rsid w:val="2CB46FDB"/>
    <w:rsid w:val="2DFB27B7"/>
    <w:rsid w:val="2ED42FAB"/>
    <w:rsid w:val="2F366741"/>
    <w:rsid w:val="325B5177"/>
    <w:rsid w:val="32625B19"/>
    <w:rsid w:val="32FA5B66"/>
    <w:rsid w:val="33077788"/>
    <w:rsid w:val="33803AE5"/>
    <w:rsid w:val="33DA419B"/>
    <w:rsid w:val="340D5819"/>
    <w:rsid w:val="34C2320E"/>
    <w:rsid w:val="34FD6C4E"/>
    <w:rsid w:val="357F7BE6"/>
    <w:rsid w:val="359E5DA6"/>
    <w:rsid w:val="36292E46"/>
    <w:rsid w:val="36C67F48"/>
    <w:rsid w:val="36FE6ED4"/>
    <w:rsid w:val="370C0EF6"/>
    <w:rsid w:val="37A03B9A"/>
    <w:rsid w:val="38871868"/>
    <w:rsid w:val="38C773A4"/>
    <w:rsid w:val="38D65753"/>
    <w:rsid w:val="39824704"/>
    <w:rsid w:val="39A15878"/>
    <w:rsid w:val="39AD5135"/>
    <w:rsid w:val="39F545FE"/>
    <w:rsid w:val="3A7733B5"/>
    <w:rsid w:val="3A8F42DA"/>
    <w:rsid w:val="3ACC739E"/>
    <w:rsid w:val="3AF251B7"/>
    <w:rsid w:val="3AFD3559"/>
    <w:rsid w:val="3B1825C5"/>
    <w:rsid w:val="3B320E51"/>
    <w:rsid w:val="3B8023A1"/>
    <w:rsid w:val="3B8519B2"/>
    <w:rsid w:val="3B874061"/>
    <w:rsid w:val="3C676135"/>
    <w:rsid w:val="3CB60938"/>
    <w:rsid w:val="3D0E3869"/>
    <w:rsid w:val="3D586B1B"/>
    <w:rsid w:val="3EB82705"/>
    <w:rsid w:val="3EC5675F"/>
    <w:rsid w:val="3F767015"/>
    <w:rsid w:val="3FF56E77"/>
    <w:rsid w:val="40543EF5"/>
    <w:rsid w:val="405F7DF3"/>
    <w:rsid w:val="408A5C74"/>
    <w:rsid w:val="40CC02CC"/>
    <w:rsid w:val="40D031F2"/>
    <w:rsid w:val="40D83E9F"/>
    <w:rsid w:val="40E4142D"/>
    <w:rsid w:val="41736CE5"/>
    <w:rsid w:val="41982DB7"/>
    <w:rsid w:val="419D4385"/>
    <w:rsid w:val="420F0402"/>
    <w:rsid w:val="43126C97"/>
    <w:rsid w:val="431E0008"/>
    <w:rsid w:val="434D13B2"/>
    <w:rsid w:val="437753D5"/>
    <w:rsid w:val="43B70C81"/>
    <w:rsid w:val="44292AD4"/>
    <w:rsid w:val="4469254F"/>
    <w:rsid w:val="44B27C2A"/>
    <w:rsid w:val="451A3510"/>
    <w:rsid w:val="46300AAA"/>
    <w:rsid w:val="469B1CAE"/>
    <w:rsid w:val="46AE5FF3"/>
    <w:rsid w:val="4732799B"/>
    <w:rsid w:val="474D75E2"/>
    <w:rsid w:val="48150E11"/>
    <w:rsid w:val="48212EC4"/>
    <w:rsid w:val="4862186A"/>
    <w:rsid w:val="48B614A6"/>
    <w:rsid w:val="48CB5056"/>
    <w:rsid w:val="49370AB5"/>
    <w:rsid w:val="4A0C4B1D"/>
    <w:rsid w:val="4B031B7A"/>
    <w:rsid w:val="4BA4167F"/>
    <w:rsid w:val="4BF806A6"/>
    <w:rsid w:val="4C540BEC"/>
    <w:rsid w:val="4C6427BD"/>
    <w:rsid w:val="4CE66527"/>
    <w:rsid w:val="4D221E11"/>
    <w:rsid w:val="4D271D07"/>
    <w:rsid w:val="4D4D6563"/>
    <w:rsid w:val="4E230FE8"/>
    <w:rsid w:val="4E3C6E2B"/>
    <w:rsid w:val="4E3E4E22"/>
    <w:rsid w:val="4E4832CD"/>
    <w:rsid w:val="4E835676"/>
    <w:rsid w:val="4F0F48AA"/>
    <w:rsid w:val="4FB9214A"/>
    <w:rsid w:val="4FC5339D"/>
    <w:rsid w:val="4FC66683"/>
    <w:rsid w:val="4FD23DCD"/>
    <w:rsid w:val="4FE20E43"/>
    <w:rsid w:val="50243E54"/>
    <w:rsid w:val="50425DAA"/>
    <w:rsid w:val="50A713CB"/>
    <w:rsid w:val="513405CC"/>
    <w:rsid w:val="513813F3"/>
    <w:rsid w:val="515A41FC"/>
    <w:rsid w:val="519B1D3C"/>
    <w:rsid w:val="524D2A61"/>
    <w:rsid w:val="527E73EA"/>
    <w:rsid w:val="52802927"/>
    <w:rsid w:val="53604C26"/>
    <w:rsid w:val="54431A0E"/>
    <w:rsid w:val="54552B6D"/>
    <w:rsid w:val="54D44AC7"/>
    <w:rsid w:val="553F67DC"/>
    <w:rsid w:val="55CE15C1"/>
    <w:rsid w:val="56112655"/>
    <w:rsid w:val="56A42262"/>
    <w:rsid w:val="5711455E"/>
    <w:rsid w:val="57802FAE"/>
    <w:rsid w:val="57B9702B"/>
    <w:rsid w:val="57D07126"/>
    <w:rsid w:val="58260B9B"/>
    <w:rsid w:val="58500DD6"/>
    <w:rsid w:val="5855243C"/>
    <w:rsid w:val="585D3DF0"/>
    <w:rsid w:val="58746F33"/>
    <w:rsid w:val="58CF6491"/>
    <w:rsid w:val="58D25A73"/>
    <w:rsid w:val="58D54B9A"/>
    <w:rsid w:val="59BE02C8"/>
    <w:rsid w:val="59D624CA"/>
    <w:rsid w:val="5A4A3433"/>
    <w:rsid w:val="5AA804F6"/>
    <w:rsid w:val="5B0B47FB"/>
    <w:rsid w:val="5B4B0AC3"/>
    <w:rsid w:val="5B4F64F7"/>
    <w:rsid w:val="5CA0213D"/>
    <w:rsid w:val="5D156FA2"/>
    <w:rsid w:val="5D551BFA"/>
    <w:rsid w:val="5D6E0C63"/>
    <w:rsid w:val="5DE977F8"/>
    <w:rsid w:val="5F0F1DD3"/>
    <w:rsid w:val="5F207068"/>
    <w:rsid w:val="5F760B65"/>
    <w:rsid w:val="5FA27792"/>
    <w:rsid w:val="5FF35C58"/>
    <w:rsid w:val="60364859"/>
    <w:rsid w:val="603C0D48"/>
    <w:rsid w:val="605F13F0"/>
    <w:rsid w:val="608A1A55"/>
    <w:rsid w:val="60A1719B"/>
    <w:rsid w:val="60E35500"/>
    <w:rsid w:val="6121278F"/>
    <w:rsid w:val="612625AA"/>
    <w:rsid w:val="6148542E"/>
    <w:rsid w:val="61817E3C"/>
    <w:rsid w:val="620F6776"/>
    <w:rsid w:val="62367E65"/>
    <w:rsid w:val="624038C5"/>
    <w:rsid w:val="6265623A"/>
    <w:rsid w:val="628F111D"/>
    <w:rsid w:val="629E1DFA"/>
    <w:rsid w:val="62A86D2A"/>
    <w:rsid w:val="62B23D75"/>
    <w:rsid w:val="62E0271D"/>
    <w:rsid w:val="62EB5301"/>
    <w:rsid w:val="632C14AF"/>
    <w:rsid w:val="6376327D"/>
    <w:rsid w:val="63E65CAD"/>
    <w:rsid w:val="644205E4"/>
    <w:rsid w:val="644D1DFE"/>
    <w:rsid w:val="646D3247"/>
    <w:rsid w:val="65364107"/>
    <w:rsid w:val="65DC4836"/>
    <w:rsid w:val="65DF3879"/>
    <w:rsid w:val="661357A0"/>
    <w:rsid w:val="663D1963"/>
    <w:rsid w:val="667A086C"/>
    <w:rsid w:val="66F23DA0"/>
    <w:rsid w:val="67591F27"/>
    <w:rsid w:val="67BF5964"/>
    <w:rsid w:val="67ED0162"/>
    <w:rsid w:val="680C1D11"/>
    <w:rsid w:val="68675294"/>
    <w:rsid w:val="688A2780"/>
    <w:rsid w:val="689E3E83"/>
    <w:rsid w:val="68ED24C0"/>
    <w:rsid w:val="691F79AD"/>
    <w:rsid w:val="698334C9"/>
    <w:rsid w:val="6AEB0406"/>
    <w:rsid w:val="6B1662A0"/>
    <w:rsid w:val="6B324C90"/>
    <w:rsid w:val="6C075B40"/>
    <w:rsid w:val="6C9A762A"/>
    <w:rsid w:val="6CC64A9C"/>
    <w:rsid w:val="6CDF240E"/>
    <w:rsid w:val="6D3D73A6"/>
    <w:rsid w:val="6DB55520"/>
    <w:rsid w:val="6E32632A"/>
    <w:rsid w:val="6E83674B"/>
    <w:rsid w:val="6F81410E"/>
    <w:rsid w:val="6FCA1424"/>
    <w:rsid w:val="70222ADB"/>
    <w:rsid w:val="70323211"/>
    <w:rsid w:val="71277622"/>
    <w:rsid w:val="716B506C"/>
    <w:rsid w:val="71805FEF"/>
    <w:rsid w:val="71C8773D"/>
    <w:rsid w:val="71E940A1"/>
    <w:rsid w:val="72F8265E"/>
    <w:rsid w:val="73235F29"/>
    <w:rsid w:val="73A823EF"/>
    <w:rsid w:val="74775FC0"/>
    <w:rsid w:val="749414A1"/>
    <w:rsid w:val="76084588"/>
    <w:rsid w:val="76B83908"/>
    <w:rsid w:val="76EA4765"/>
    <w:rsid w:val="77197ED0"/>
    <w:rsid w:val="77392219"/>
    <w:rsid w:val="77AB14FD"/>
    <w:rsid w:val="78624DA5"/>
    <w:rsid w:val="78773C75"/>
    <w:rsid w:val="78AB0C68"/>
    <w:rsid w:val="78E328E5"/>
    <w:rsid w:val="79046A88"/>
    <w:rsid w:val="79130FEA"/>
    <w:rsid w:val="79662E86"/>
    <w:rsid w:val="79EA0D2A"/>
    <w:rsid w:val="7A2141E3"/>
    <w:rsid w:val="7A33156C"/>
    <w:rsid w:val="7AC27882"/>
    <w:rsid w:val="7AF83AAC"/>
    <w:rsid w:val="7B011597"/>
    <w:rsid w:val="7B0924ED"/>
    <w:rsid w:val="7B2075DD"/>
    <w:rsid w:val="7B2A00C7"/>
    <w:rsid w:val="7B5D5082"/>
    <w:rsid w:val="7BD16A01"/>
    <w:rsid w:val="7C3F1BA4"/>
    <w:rsid w:val="7CD32026"/>
    <w:rsid w:val="7CEB71BA"/>
    <w:rsid w:val="7D9C7A9A"/>
    <w:rsid w:val="7DD06F88"/>
    <w:rsid w:val="7DE85FE7"/>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next w:val="6"/>
    <w:qFormat/>
    <w:uiPriority w:val="1"/>
    <w:rPr>
      <w:rFonts w:ascii="宋体" w:hAnsi="宋体" w:eastAsia="宋体" w:cs="宋体"/>
      <w:sz w:val="24"/>
      <w:szCs w:val="24"/>
    </w:rPr>
  </w:style>
  <w:style w:type="paragraph" w:customStyle="1" w:styleId="6">
    <w:name w:val="一级条标题"/>
    <w:basedOn w:val="7"/>
    <w:next w:val="1"/>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Plain Text"/>
    <w:basedOn w:val="1"/>
    <w:qFormat/>
    <w:uiPriority w:val="0"/>
    <w:rPr>
      <w:rFonts w:ascii="宋体" w:hAnsi="Courier New" w:eastAsiaTheme="minorEastAsia" w:cstheme="minorBidi"/>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asciiTheme="minorHAnsi" w:hAnsiTheme="minorHAnsi" w:eastAsiaTheme="minorEastAsia" w:cstheme="minorBidi"/>
    </w:rPr>
  </w:style>
  <w:style w:type="paragraph" w:styleId="14">
    <w:name w:val="Body Text First Indent"/>
    <w:basedOn w:val="5"/>
    <w:unhideWhenUsed/>
    <w:qFormat/>
    <w:uiPriority w:val="99"/>
    <w:pPr>
      <w:spacing w:before="100" w:beforeAutospacing="1"/>
      <w:ind w:firstLine="420" w:firstLineChars="100"/>
    </w:pPr>
  </w:style>
  <w:style w:type="paragraph" w:styleId="15">
    <w:name w:val="Body Text First Indent 2"/>
    <w:basedOn w:val="8"/>
    <w:unhideWhenUsed/>
    <w:qFormat/>
    <w:uiPriority w:val="99"/>
    <w:pPr>
      <w:ind w:firstLine="420" w:firstLineChars="200"/>
    </w:pPr>
    <w:rPr>
      <w:szCs w:val="24"/>
    </w:rPr>
  </w:style>
  <w:style w:type="table" w:styleId="17">
    <w:name w:val="Table Grid"/>
    <w:basedOn w:val="1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20">
    <w:name w:val="二级条标题"/>
    <w:basedOn w:val="6"/>
    <w:next w:val="1"/>
    <w:qFormat/>
    <w:uiPriority w:val="0"/>
    <w:pPr>
      <w:numPr>
        <w:ilvl w:val="2"/>
        <w:numId w:val="2"/>
      </w:numPr>
      <w:ind w:left="210"/>
    </w:pPr>
  </w:style>
  <w:style w:type="paragraph" w:customStyle="1" w:styleId="2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2">
    <w:name w:val="页眉 Char"/>
    <w:basedOn w:val="18"/>
    <w:link w:val="12"/>
    <w:qFormat/>
    <w:uiPriority w:val="99"/>
    <w:rPr>
      <w:rFonts w:ascii="Times New Roman" w:hAnsi="Times New Roman" w:eastAsia="宋体" w:cs="Times New Roman"/>
      <w:sz w:val="18"/>
      <w:szCs w:val="18"/>
    </w:rPr>
  </w:style>
  <w:style w:type="character" w:customStyle="1" w:styleId="23">
    <w:name w:val="页脚 Char"/>
    <w:basedOn w:val="18"/>
    <w:link w:val="11"/>
    <w:qFormat/>
    <w:uiPriority w:val="99"/>
    <w:rPr>
      <w:rFonts w:ascii="Times New Roman" w:hAnsi="Times New Roman" w:eastAsia="宋体" w:cs="Times New Roman"/>
      <w:sz w:val="18"/>
      <w:szCs w:val="18"/>
    </w:rPr>
  </w:style>
  <w:style w:type="character" w:customStyle="1" w:styleId="24">
    <w:name w:val="批注框文本 Char"/>
    <w:basedOn w:val="18"/>
    <w:link w:val="10"/>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semiHidden/>
    <w:qFormat/>
    <w:uiPriority w:val="0"/>
  </w:style>
  <w:style w:type="paragraph" w:customStyle="1" w:styleId="2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2020-12-28T03:22:26Z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