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tbl>
      <w:tblPr>
        <w:tblStyle w:val="17"/>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过程与活动、</w:t>
            </w:r>
          </w:p>
          <w:p>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抽样计划</w:t>
            </w:r>
          </w:p>
        </w:tc>
        <w:tc>
          <w:tcPr>
            <w:tcW w:w="965" w:type="dxa"/>
            <w:vMerge w:val="restart"/>
            <w:vAlign w:val="center"/>
          </w:tcPr>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涉及</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条款</w:t>
            </w:r>
          </w:p>
        </w:tc>
        <w:tc>
          <w:tcPr>
            <w:tcW w:w="10927" w:type="dxa"/>
            <w:vAlign w:val="center"/>
          </w:tcPr>
          <w:p>
            <w:pPr>
              <w:rPr>
                <w:rFonts w:hint="default" w:eastAsia="宋体" w:asciiTheme="minorEastAsia" w:hAnsiTheme="minorEastAsia" w:cstheme="minorEastAsia"/>
                <w:sz w:val="21"/>
                <w:szCs w:val="21"/>
                <w:highlight w:val="none"/>
                <w:lang w:val="en-US" w:eastAsia="zh-CN"/>
              </w:rPr>
            </w:pPr>
            <w:r>
              <w:rPr>
                <w:rFonts w:ascii="Times New Roman" w:hAnsi="Times New Roman"/>
                <w:highlight w:val="none"/>
              </w:rPr>
              <w:t>受审核部门：</w:t>
            </w:r>
            <w:r>
              <w:rPr>
                <w:rFonts w:hint="eastAsia"/>
                <w:highlight w:val="none"/>
                <w:lang w:val="en-US" w:eastAsia="zh-CN"/>
              </w:rPr>
              <w:t>业务</w:t>
            </w:r>
            <w:r>
              <w:rPr>
                <w:rFonts w:hint="eastAsia" w:ascii="宋体" w:hAnsi="宋体"/>
                <w:b/>
                <w:bCs/>
                <w:sz w:val="21"/>
                <w:szCs w:val="21"/>
                <w:highlight w:val="none"/>
                <w:lang w:val="en-US" w:eastAsia="zh-CN"/>
              </w:rPr>
              <w:t>部</w:t>
            </w:r>
            <w:r>
              <w:rPr>
                <w:rFonts w:ascii="Times New Roman" w:hAnsi="Times New Roman"/>
                <w:highlight w:val="none"/>
              </w:rPr>
              <w:t xml:space="preserve">     </w:t>
            </w:r>
            <w:r>
              <w:rPr>
                <w:rFonts w:hint="eastAsia"/>
                <w:highlight w:val="none"/>
                <w:lang w:val="en-US" w:eastAsia="zh-CN"/>
              </w:rPr>
              <w:t xml:space="preserve">   </w:t>
            </w:r>
            <w:r>
              <w:rPr>
                <w:rFonts w:ascii="Times New Roman" w:hAnsi="Times New Roman"/>
                <w:highlight w:val="none"/>
              </w:rPr>
              <w:t>主管领导：</w:t>
            </w:r>
            <w:r>
              <w:rPr>
                <w:rFonts w:hint="eastAsia"/>
                <w:highlight w:val="none"/>
                <w:lang w:val="en-US" w:eastAsia="zh-CN"/>
              </w:rPr>
              <w:t xml:space="preserve">张真晓   </w:t>
            </w:r>
            <w:r>
              <w:rPr>
                <w:rFonts w:ascii="Times New Roman" w:hAnsi="Times New Roman"/>
                <w:highlight w:val="none"/>
              </w:rPr>
              <w:t xml:space="preserve"> 陪同人员：</w:t>
            </w:r>
            <w:r>
              <w:rPr>
                <w:rFonts w:hint="eastAsia"/>
                <w:highlight w:val="none"/>
                <w:lang w:val="en-US" w:eastAsia="zh-CN"/>
              </w:rPr>
              <w:t>王爱丹</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spacing w:before="1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审核员：</w:t>
            </w:r>
            <w:r>
              <w:rPr>
                <w:rFonts w:hint="eastAsia" w:asciiTheme="minorEastAsia" w:hAnsiTheme="minorEastAsia" w:eastAsiaTheme="minorEastAsia" w:cstheme="minorEastAsia"/>
                <w:color w:val="auto"/>
                <w:sz w:val="21"/>
                <w:szCs w:val="21"/>
                <w:highlight w:val="none"/>
                <w:lang w:val="en-US" w:eastAsia="zh-CN"/>
              </w:rPr>
              <w:t xml:space="preserve">林兵             </w:t>
            </w:r>
            <w:r>
              <w:rPr>
                <w:rFonts w:hint="eastAsia" w:asciiTheme="minorEastAsia" w:hAnsiTheme="minorEastAsia" w:eastAsiaTheme="minorEastAsia" w:cstheme="minorEastAsia"/>
                <w:color w:val="auto"/>
                <w:sz w:val="21"/>
                <w:szCs w:val="21"/>
                <w:highlight w:val="none"/>
              </w:rPr>
              <w:t>审核时间：</w:t>
            </w:r>
            <w:r>
              <w:rPr>
                <w:rFonts w:hint="eastAsia" w:asciiTheme="minorEastAsia" w:hAnsiTheme="minorEastAsia" w:eastAsiaTheme="minorEastAsia" w:cstheme="minorEastAsia"/>
                <w:color w:val="auto"/>
                <w:sz w:val="21"/>
                <w:szCs w:val="21"/>
                <w:highlight w:val="none"/>
                <w:lang w:val="en-US" w:eastAsia="zh-CN"/>
              </w:rPr>
              <w:t>2020年12月29-31日</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Theme="minorEastAsia" w:hAnsiTheme="minorEastAsia" w:eastAsiaTheme="minorEastAsia" w:cstheme="minorEastAsia"/>
                <w:sz w:val="21"/>
                <w:szCs w:val="21"/>
                <w:highlight w:val="none"/>
              </w:rPr>
            </w:pPr>
          </w:p>
        </w:tc>
        <w:tc>
          <w:tcPr>
            <w:tcW w:w="965" w:type="dxa"/>
            <w:vMerge w:val="continue"/>
            <w:vAlign w:val="center"/>
          </w:tcPr>
          <w:p>
            <w:pPr>
              <w:rPr>
                <w:rFonts w:hint="eastAsia" w:asciiTheme="minorEastAsia" w:hAnsiTheme="minorEastAsia" w:eastAsiaTheme="minorEastAsia" w:cstheme="minorEastAsia"/>
                <w:sz w:val="21"/>
                <w:szCs w:val="21"/>
                <w:highlight w:val="none"/>
              </w:rPr>
            </w:pPr>
          </w:p>
        </w:tc>
        <w:tc>
          <w:tcPr>
            <w:tcW w:w="10927" w:type="dxa"/>
            <w:vAlign w:val="center"/>
          </w:tcPr>
          <w:p>
            <w:pPr>
              <w:pStyle w:val="2"/>
              <w:rPr>
                <w:rFonts w:hint="eastAsia"/>
                <w:highlight w:val="none"/>
              </w:rPr>
            </w:pPr>
            <w:r>
              <w:rPr>
                <w:rFonts w:hint="eastAsia"/>
                <w:highlight w:val="none"/>
              </w:rPr>
              <w:t>审核条款：</w:t>
            </w:r>
          </w:p>
          <w:p>
            <w:pPr>
              <w:adjustRightInd w:val="0"/>
              <w:snapToGrid w:val="0"/>
              <w:ind w:right="105" w:rightChars="50"/>
              <w:textAlignment w:val="baseline"/>
              <w:rPr>
                <w:rFonts w:hint="eastAsia" w:ascii="宋体" w:hAnsi="宋体" w:cs="Arial"/>
                <w:sz w:val="21"/>
                <w:szCs w:val="21"/>
                <w:lang w:eastAsia="zh-CN"/>
              </w:rPr>
            </w:pPr>
            <w:r>
              <w:rPr>
                <w:rFonts w:hint="eastAsia" w:ascii="宋体" w:hAnsi="宋体" w:cs="Arial"/>
                <w:sz w:val="21"/>
                <w:szCs w:val="21"/>
              </w:rPr>
              <w:t>Q</w:t>
            </w:r>
            <w:r>
              <w:rPr>
                <w:rFonts w:hint="eastAsia" w:ascii="宋体" w:hAnsi="宋体" w:cs="Arial"/>
                <w:sz w:val="21"/>
                <w:szCs w:val="21"/>
                <w:lang w:val="en-US" w:eastAsia="zh-CN"/>
              </w:rPr>
              <w:t>EO</w:t>
            </w:r>
            <w:r>
              <w:rPr>
                <w:rFonts w:hint="eastAsia" w:ascii="宋体" w:hAnsi="宋体" w:cs="Arial"/>
                <w:sz w:val="21"/>
                <w:szCs w:val="21"/>
              </w:rPr>
              <w:t>: 5.3组织的岗位、职责和权限、</w:t>
            </w:r>
            <w:r>
              <w:rPr>
                <w:rFonts w:hint="eastAsia" w:ascii="宋体" w:hAnsi="宋体" w:cs="Arial"/>
                <w:spacing w:val="-6"/>
                <w:sz w:val="21"/>
                <w:szCs w:val="21"/>
              </w:rPr>
              <w:t>6.1应对风险和机遇的措施、</w:t>
            </w:r>
            <w:r>
              <w:rPr>
                <w:rFonts w:hint="eastAsia" w:ascii="宋体" w:hAnsi="宋体" w:cs="Arial"/>
                <w:sz w:val="21"/>
                <w:szCs w:val="21"/>
              </w:rPr>
              <w:t>6.2质量目标</w:t>
            </w:r>
            <w:r>
              <w:rPr>
                <w:rFonts w:hint="eastAsia" w:ascii="宋体" w:hAnsi="宋体" w:cs="Arial"/>
                <w:sz w:val="21"/>
                <w:szCs w:val="21"/>
                <w:lang w:eastAsia="zh-CN"/>
              </w:rPr>
              <w:t>、</w:t>
            </w:r>
          </w:p>
          <w:p>
            <w:pPr>
              <w:adjustRightInd w:val="0"/>
              <w:snapToGrid w:val="0"/>
              <w:ind w:right="105" w:rightChars="50"/>
              <w:textAlignment w:val="baseline"/>
              <w:rPr>
                <w:rFonts w:hint="eastAsia" w:ascii="宋体" w:hAnsi="宋体" w:eastAsia="宋体" w:cs="Arial"/>
                <w:sz w:val="21"/>
                <w:szCs w:val="21"/>
                <w:lang w:val="en-US" w:eastAsia="zh-CN"/>
              </w:rPr>
            </w:pPr>
            <w:r>
              <w:rPr>
                <w:rFonts w:hint="eastAsia" w:ascii="宋体" w:hAnsi="宋体" w:cs="Arial"/>
                <w:sz w:val="21"/>
                <w:szCs w:val="21"/>
                <w:lang w:val="en-US" w:eastAsia="zh-CN"/>
              </w:rPr>
              <w:t>Q:</w:t>
            </w:r>
            <w:r>
              <w:rPr>
                <w:rFonts w:hint="eastAsia" w:ascii="宋体" w:hAnsi="宋体" w:eastAsia="宋体" w:cs="Arial"/>
                <w:sz w:val="21"/>
                <w:szCs w:val="21"/>
                <w:lang w:val="en-US" w:eastAsia="zh-CN"/>
              </w:rPr>
              <w:t>8.2 物业管理服务的要求、</w:t>
            </w:r>
            <w:r>
              <w:rPr>
                <w:rFonts w:hint="eastAsia" w:ascii="宋体" w:hAnsi="宋体" w:eastAsia="宋体" w:cs="Arial"/>
                <w:sz w:val="21"/>
                <w:szCs w:val="21"/>
              </w:rPr>
              <w:t>8.3物业管理服务的设计和开发</w:t>
            </w:r>
            <w:r>
              <w:rPr>
                <w:rFonts w:hint="eastAsia" w:ascii="宋体" w:hAnsi="宋体" w:eastAsia="宋体" w:cs="Arial"/>
                <w:sz w:val="21"/>
                <w:szCs w:val="21"/>
                <w:lang w:eastAsia="zh-CN"/>
              </w:rPr>
              <w:t>、</w:t>
            </w:r>
            <w:r>
              <w:rPr>
                <w:rFonts w:hint="eastAsia" w:ascii="宋体" w:hAnsi="宋体" w:eastAsia="宋体" w:cs="Arial"/>
                <w:sz w:val="21"/>
                <w:szCs w:val="21"/>
              </w:rPr>
              <w:t>8.5.5 交付后的活动</w:t>
            </w:r>
            <w:r>
              <w:rPr>
                <w:rFonts w:hint="eastAsia" w:ascii="宋体" w:hAnsi="宋体" w:eastAsia="宋体" w:cs="Arial"/>
                <w:sz w:val="21"/>
                <w:szCs w:val="21"/>
                <w:lang w:eastAsia="zh-CN"/>
              </w:rPr>
              <w:t>、</w:t>
            </w:r>
            <w:r>
              <w:rPr>
                <w:rFonts w:hint="eastAsia" w:ascii="宋体" w:hAnsi="宋体" w:eastAsia="宋体" w:cs="Arial"/>
                <w:sz w:val="21"/>
                <w:szCs w:val="21"/>
              </w:rPr>
              <w:t>9.1.2 顾客满意</w:t>
            </w:r>
          </w:p>
          <w:p>
            <w:pPr>
              <w:pStyle w:val="2"/>
              <w:rPr>
                <w:rFonts w:hint="eastAsia"/>
                <w:highlight w:val="none"/>
              </w:rPr>
            </w:pPr>
            <w:r>
              <w:rPr>
                <w:rFonts w:hint="eastAsia" w:ascii="宋体" w:hAnsi="宋体" w:eastAsia="宋体" w:cs="Arial"/>
                <w:sz w:val="21"/>
                <w:szCs w:val="21"/>
                <w:lang w:val="en-US" w:eastAsia="zh-CN"/>
              </w:rPr>
              <w:t>EO:6.1.2环境因素/危险源的辨识与评价、</w:t>
            </w:r>
            <w:r>
              <w:rPr>
                <w:rFonts w:hint="eastAsia" w:ascii="宋体" w:hAnsi="宋体" w:cs="Arial"/>
                <w:sz w:val="21"/>
                <w:szCs w:val="21"/>
              </w:rPr>
              <w:t>8.1运行策划和控制、8.2应急准备和响应</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rPr>
                <w:rFonts w:hint="eastAsia" w:asciiTheme="minorEastAsia" w:hAnsiTheme="minorEastAsia" w:eastAsiaTheme="minorEastAsia" w:cstheme="minorEastAsia"/>
                <w:sz w:val="21"/>
                <w:szCs w:val="21"/>
              </w:rPr>
            </w:pPr>
          </w:p>
        </w:tc>
        <w:tc>
          <w:tcPr>
            <w:tcW w:w="965"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:5.3</w:t>
            </w:r>
          </w:p>
          <w:p>
            <w:pPr>
              <w:rPr>
                <w:rFonts w:hint="eastAsia" w:asciiTheme="minorEastAsia" w:hAnsiTheme="minorEastAsia" w:eastAsiaTheme="minorEastAsia" w:cstheme="minorEastAsia"/>
                <w:sz w:val="21"/>
                <w:szCs w:val="21"/>
              </w:rPr>
            </w:pPr>
          </w:p>
        </w:tc>
        <w:tc>
          <w:tcPr>
            <w:tcW w:w="10927" w:type="dxa"/>
            <w:vAlign w:val="top"/>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业务</w:t>
            </w:r>
            <w:r>
              <w:rPr>
                <w:rFonts w:hint="eastAsia" w:asciiTheme="minorEastAsia" w:hAnsiTheme="minorEastAsia" w:eastAsiaTheme="minorEastAsia" w:cstheme="minorEastAsia"/>
                <w:sz w:val="21"/>
                <w:szCs w:val="21"/>
                <w:lang w:eastAsia="zh-CN"/>
              </w:rPr>
              <w:t xml:space="preserve">部   </w:t>
            </w:r>
            <w:r>
              <w:rPr>
                <w:rFonts w:hint="eastAsia" w:asciiTheme="minorEastAsia" w:hAnsiTheme="minorEastAsia" w:eastAsiaTheme="minorEastAsia" w:cstheme="minorEastAsia"/>
                <w:sz w:val="21"/>
                <w:szCs w:val="21"/>
              </w:rPr>
              <w:t>负责人：</w:t>
            </w:r>
            <w:r>
              <w:rPr>
                <w:rFonts w:hint="eastAsia" w:asciiTheme="minorEastAsia" w:hAnsiTheme="minorEastAsia" w:eastAsiaTheme="minorEastAsia" w:cstheme="minorEastAsia"/>
                <w:sz w:val="21"/>
                <w:szCs w:val="21"/>
                <w:lang w:val="en-US" w:eastAsia="zh-CN"/>
              </w:rPr>
              <w:t>张真晓</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查《管理手册》</w:t>
            </w:r>
            <w:r>
              <w:rPr>
                <w:rFonts w:hint="eastAsia" w:asciiTheme="minorEastAsia" w:hAnsiTheme="minorEastAsia" w:eastAsiaTheme="minorEastAsia" w:cstheme="minorEastAsia"/>
                <w:sz w:val="21"/>
                <w:szCs w:val="21"/>
                <w:lang w:val="en-US" w:eastAsia="zh-CN"/>
              </w:rPr>
              <w:t>附录3</w:t>
            </w:r>
            <w:r>
              <w:rPr>
                <w:rFonts w:hint="eastAsia" w:asciiTheme="minorEastAsia" w:hAnsiTheme="minorEastAsia" w:eastAsiaTheme="minorEastAsia" w:cstheme="minorEastAsia"/>
                <w:sz w:val="21"/>
                <w:szCs w:val="21"/>
              </w:rPr>
              <w:t>规定了本部门的职责和权限</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主要负责：</w:t>
            </w:r>
          </w:p>
          <w:p>
            <w:pPr>
              <w:rPr>
                <w:rFonts w:hint="eastAsia" w:asciiTheme="minorEastAsia" w:hAnsiTheme="minorEastAsia" w:eastAsiaTheme="minorEastAsia" w:cstheme="minorEastAsia"/>
                <w:sz w:val="21"/>
                <w:szCs w:val="21"/>
              </w:rPr>
            </w:pPr>
            <w:r>
              <w:rPr>
                <w:rFonts w:hint="eastAsia" w:ascii="黑体" w:hAnsi="黑体" w:eastAsia="黑体" w:cs="黑体"/>
                <w:sz w:val="24"/>
              </w:rPr>
              <w:t>（</w:t>
            </w:r>
            <w:r>
              <w:rPr>
                <w:rFonts w:hint="eastAsia" w:asciiTheme="minorEastAsia" w:hAnsiTheme="minorEastAsia" w:eastAsiaTheme="minorEastAsia" w:cstheme="minorEastAsia"/>
                <w:sz w:val="21"/>
                <w:szCs w:val="21"/>
              </w:rPr>
              <w:t>1）了解和收集有物业需求的楼盘信息，筛选目标楼盘进行针对性接触。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（2）编制物业管理投标书并做好评审，组织实施整个竞标过程的工作。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（3）负责中标后物业管理服务事宜的谈判和合同等相关文件的拟定工作。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（4）负责新接项目的前期服务策划工作。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负责楼盘前期物业服务的顾问报告编写及甲方相关问题的协调处理工作。</w:t>
            </w:r>
          </w:p>
          <w:p>
            <w:pPr>
              <w:rPr>
                <w:rFonts w:hint="eastAsia" w:asciiTheme="minorEastAsia" w:hAnsiTheme="minorEastAsia" w:eastAsiaTheme="minorEastAsia" w:cstheme="minorEastAsia"/>
                <w:sz w:val="21"/>
                <w:szCs w:val="21"/>
              </w:rPr>
            </w:pP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spacing w:line="360" w:lineRule="auto"/>
            </w:pPr>
            <w:r>
              <w:rPr>
                <w:rFonts w:hint="eastAsia"/>
              </w:rPr>
              <w:t>应对风险和机遇的措施</w:t>
            </w:r>
          </w:p>
          <w:p>
            <w:pPr>
              <w:spacing w:line="360" w:lineRule="auto"/>
              <w:rPr>
                <w:rFonts w:hint="eastAsia" w:ascii="Times New Roman" w:hAnsi="Times New Roman" w:eastAsia="宋体" w:cs="Times New Roman"/>
                <w:kern w:val="2"/>
                <w:sz w:val="21"/>
                <w:lang w:val="en-US" w:eastAsia="zh-CN" w:bidi="ar-SA"/>
              </w:rPr>
            </w:pPr>
          </w:p>
        </w:tc>
        <w:tc>
          <w:tcPr>
            <w:tcW w:w="965" w:type="dxa"/>
            <w:vAlign w:val="top"/>
          </w:tcPr>
          <w:p>
            <w:pPr>
              <w:spacing w:line="360" w:lineRule="auto"/>
            </w:pPr>
            <w:r>
              <w:rPr>
                <w:rFonts w:hint="eastAsia"/>
              </w:rPr>
              <w:t>Q6.1</w:t>
            </w:r>
          </w:p>
          <w:p>
            <w:pPr>
              <w:spacing w:line="360" w:lineRule="auto"/>
            </w:pPr>
            <w:r>
              <w:t>E6.1.1</w:t>
            </w:r>
          </w:p>
          <w:p>
            <w:pPr>
              <w:spacing w:line="360" w:lineRule="auto"/>
            </w:pPr>
            <w:r>
              <w:t>O6.1.1</w:t>
            </w:r>
          </w:p>
          <w:p>
            <w:pPr>
              <w:spacing w:line="360" w:lineRule="auto"/>
              <w:rPr>
                <w:rFonts w:hint="eastAsia" w:ascii="Times New Roman" w:hAnsi="Times New Roman" w:eastAsia="宋体" w:cs="Times New Roman"/>
                <w:kern w:val="2"/>
                <w:sz w:val="21"/>
                <w:lang w:val="en-US" w:eastAsia="zh-CN" w:bidi="ar-SA"/>
              </w:rPr>
            </w:pPr>
          </w:p>
        </w:tc>
        <w:tc>
          <w:tcPr>
            <w:tcW w:w="10927" w:type="dxa"/>
            <w:vAlign w:val="center"/>
          </w:tcPr>
          <w:p>
            <w:pPr>
              <w:pStyle w:val="2"/>
              <w:rPr>
                <w:rFonts w:hint="eastAsia" w:asciiTheme="minorEastAsia" w:hAnsiTheme="minorEastAsia" w:eastAsiaTheme="minorEastAsia" w:cstheme="minorEastAsia"/>
                <w:bCs w:val="0"/>
                <w:color w:val="auto"/>
                <w:spacing w:val="0"/>
                <w:kern w:val="2"/>
                <w:sz w:val="21"/>
                <w:szCs w:val="21"/>
                <w:highlight w:val="none"/>
                <w:lang w:val="en-US" w:eastAsia="zh-CN" w:bidi="ar-SA"/>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公司编制了《风险和机遇分析、评价和应对措施的确定程序》。 风险管理流程：风险识别——风险评估——风险响应——风险控制。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提供风险和机遇评估分析表,对识别的风险和机遇进行评估，并制定了应对风险及机遇的措施。措施有效</w:t>
            </w:r>
            <w:r>
              <w:rPr>
                <w:rFonts w:hint="eastAsia" w:asciiTheme="minorEastAsia" w:hAnsiTheme="minorEastAsia" w:eastAsiaTheme="minorEastAsia" w:cstheme="minorEastAsia"/>
                <w:color w:val="auto"/>
                <w:sz w:val="21"/>
                <w:szCs w:val="21"/>
                <w:highlight w:val="none"/>
                <w:lang w:val="en-US" w:eastAsia="zh-CN"/>
              </w:rPr>
              <w:t>。</w:t>
            </w:r>
            <w:bookmarkStart w:id="1" w:name="_GoBack"/>
            <w:bookmarkEnd w:id="1"/>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目标、指标及完成情况</w:t>
            </w:r>
          </w:p>
        </w:tc>
        <w:tc>
          <w:tcPr>
            <w:tcW w:w="965"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Q:6.2</w:t>
            </w:r>
          </w:p>
          <w:p>
            <w:pPr>
              <w:rPr>
                <w:rFonts w:hint="eastAsia" w:asciiTheme="minorEastAsia" w:hAnsiTheme="minorEastAsia" w:eastAsiaTheme="minorEastAsia" w:cstheme="minorEastAsia"/>
                <w:sz w:val="21"/>
                <w:szCs w:val="21"/>
              </w:rPr>
            </w:pPr>
          </w:p>
        </w:tc>
        <w:tc>
          <w:tcPr>
            <w:tcW w:w="10927" w:type="dxa"/>
            <w:vAlign w:val="top"/>
          </w:tcPr>
          <w:p>
            <w:pPr>
              <w:rPr>
                <w:rFonts w:hint="eastAsia" w:asciiTheme="minorEastAsia" w:hAnsiTheme="minorEastAsia" w:eastAsiaTheme="minorEastAsia" w:cstheme="minorEastAsia"/>
                <w:sz w:val="21"/>
                <w:szCs w:val="21"/>
              </w:rPr>
            </w:pPr>
            <w:r>
              <w:rPr>
                <w:rFonts w:hint="eastAsia"/>
                <w:color w:val="auto"/>
              </w:rPr>
              <w:sym w:font="Wingdings 2" w:char="F098"/>
            </w:r>
            <w:r>
              <w:rPr>
                <w:rFonts w:hint="eastAsia"/>
                <w:color w:val="auto"/>
              </w:rPr>
              <w:t>部</w:t>
            </w:r>
            <w:r>
              <w:rPr>
                <w:rFonts w:hint="eastAsia" w:asciiTheme="minorEastAsia" w:hAnsiTheme="minorEastAsia" w:eastAsiaTheme="minorEastAsia" w:cstheme="minorEastAsia"/>
                <w:sz w:val="21"/>
                <w:szCs w:val="21"/>
              </w:rPr>
              <w:t xml:space="preserve">门质量目标：       </w:t>
            </w:r>
          </w:p>
          <w:tbl>
            <w:tblPr>
              <w:tblStyle w:val="18"/>
              <w:tblW w:w="10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678"/>
              <w:gridCol w:w="2678"/>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部门</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分目标</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考核方法</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统计结果（6-10月）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Merge w:val="restart"/>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rPr>
                    <w:t>业务部</w:t>
                  </w:r>
                </w:p>
                <w:p>
                  <w:pPr>
                    <w:rPr>
                      <w:rFonts w:hint="eastAsia" w:asciiTheme="minorEastAsia" w:hAnsiTheme="minorEastAsia" w:eastAsiaTheme="minorEastAsia" w:cstheme="minorEastAsia"/>
                      <w:sz w:val="21"/>
                      <w:szCs w:val="21"/>
                      <w:vertAlign w:val="baseline"/>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rPr>
                    <w:t>1.合同履约率100%</w:t>
                  </w:r>
                </w:p>
              </w:tc>
              <w:tc>
                <w:tcPr>
                  <w:tcW w:w="2678" w:type="dxa"/>
                  <w:vAlign w:val="center"/>
                </w:tcPr>
                <w:p>
                  <w:pPr>
                    <w:spacing w:line="400" w:lineRule="exact"/>
                    <w:jc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rPr>
                    <w:t>履约率</w:t>
                  </w:r>
                  <w:r>
                    <w:rPr>
                      <w:rFonts w:hint="eastAsia" w:ascii="黑体" w:hAnsi="黑体" w:eastAsia="黑体" w:cs="黑体"/>
                      <w:bCs/>
                      <w:color w:val="000000"/>
                      <w:szCs w:val="21"/>
                    </w:rPr>
                    <w:t>＝</w:t>
                  </w:r>
                  <w:r>
                    <w:rPr>
                      <w:rFonts w:hint="eastAsia" w:ascii="黑体" w:hAnsi="黑体" w:eastAsia="黑体" w:cs="黑体"/>
                    </w:rPr>
                    <w:t>履约</w:t>
                  </w:r>
                  <w:r>
                    <w:rPr>
                      <w:rFonts w:hint="eastAsia" w:ascii="黑体" w:hAnsi="黑体" w:eastAsia="黑体" w:cs="黑体"/>
                      <w:bCs/>
                      <w:color w:val="000000"/>
                      <w:szCs w:val="21"/>
                    </w:rPr>
                    <w:t>数÷合同总数×100%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Merge w:val="continue"/>
                </w:tcPr>
                <w:p>
                  <w:pPr>
                    <w:rPr>
                      <w:rFonts w:hint="eastAsia" w:asciiTheme="minorEastAsia" w:hAnsiTheme="minorEastAsia" w:eastAsiaTheme="minorEastAsia" w:cstheme="minorEastAsia"/>
                      <w:sz w:val="21"/>
                      <w:szCs w:val="21"/>
                      <w:vertAlign w:val="baseline"/>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szCs w:val="21"/>
                    </w:rPr>
                    <w:t>2.</w:t>
                  </w:r>
                  <w:r>
                    <w:rPr>
                      <w:rFonts w:hint="eastAsia" w:ascii="黑体" w:hAnsi="黑体" w:eastAsia="黑体" w:cs="黑体"/>
                      <w:bCs/>
                      <w:snapToGrid w:val="0"/>
                      <w:color w:val="000000"/>
                      <w:kern w:val="0"/>
                      <w:szCs w:val="21"/>
                    </w:rPr>
                    <w:t xml:space="preserve"> 业主满意率</w:t>
                  </w:r>
                  <w:r>
                    <w:rPr>
                      <w:rFonts w:hint="eastAsia" w:ascii="黑体" w:hAnsi="黑体" w:eastAsia="黑体" w:cs="黑体"/>
                      <w:szCs w:val="21"/>
                    </w:rPr>
                    <w:t>≥</w:t>
                  </w:r>
                  <w:r>
                    <w:rPr>
                      <w:rFonts w:hint="eastAsia" w:ascii="黑体" w:hAnsi="黑体" w:eastAsia="黑体" w:cs="黑体"/>
                    </w:rPr>
                    <w:t>95%</w:t>
                  </w:r>
                </w:p>
              </w:tc>
              <w:tc>
                <w:tcPr>
                  <w:tcW w:w="2678" w:type="dxa"/>
                  <w:vAlign w:val="center"/>
                </w:tcPr>
                <w:p>
                  <w:pPr>
                    <w:spacing w:line="400" w:lineRule="exact"/>
                    <w:jc w:val="center"/>
                    <w:rPr>
                      <w:rFonts w:hint="eastAsia" w:ascii="黑体" w:hAnsi="黑体" w:eastAsia="黑体" w:cs="黑体"/>
                      <w:bCs/>
                      <w:color w:val="000000"/>
                      <w:kern w:val="2"/>
                      <w:sz w:val="21"/>
                      <w:szCs w:val="21"/>
                      <w:lang w:val="en-US" w:eastAsia="zh-CN" w:bidi="ar-SA"/>
                    </w:rPr>
                  </w:pPr>
                  <w:r>
                    <w:rPr>
                      <w:rFonts w:hint="eastAsia" w:ascii="黑体" w:hAnsi="黑体" w:eastAsia="黑体" w:cs="黑体"/>
                    </w:rPr>
                    <w:t>满意率</w:t>
                  </w:r>
                  <w:r>
                    <w:rPr>
                      <w:rFonts w:hint="eastAsia" w:ascii="黑体" w:hAnsi="黑体" w:eastAsia="黑体" w:cs="黑体"/>
                      <w:bCs/>
                      <w:color w:val="000000"/>
                      <w:szCs w:val="21"/>
                    </w:rPr>
                    <w:t>＝总分数÷业主数×100%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7" w:type="dxa"/>
                  <w:vMerge w:val="continue"/>
                </w:tcPr>
                <w:p>
                  <w:pPr>
                    <w:rPr>
                      <w:rFonts w:hint="eastAsia" w:asciiTheme="minorEastAsia" w:hAnsiTheme="minorEastAsia" w:eastAsiaTheme="minorEastAsia" w:cstheme="minorEastAsia"/>
                      <w:sz w:val="21"/>
                      <w:szCs w:val="21"/>
                      <w:vertAlign w:val="baseline"/>
                    </w:rPr>
                  </w:pPr>
                </w:p>
              </w:tc>
              <w:tc>
                <w:tcPr>
                  <w:tcW w:w="2678" w:type="dxa"/>
                  <w:vAlign w:val="center"/>
                </w:tcPr>
                <w:p>
                  <w:pPr>
                    <w:spacing w:line="400" w:lineRule="exact"/>
                    <w:rPr>
                      <w:rFonts w:hint="eastAsia" w:ascii="黑体" w:hAnsi="黑体" w:eastAsia="黑体" w:cs="黑体"/>
                      <w:kern w:val="2"/>
                      <w:sz w:val="21"/>
                      <w:lang w:val="en-US" w:eastAsia="zh-CN" w:bidi="ar-SA"/>
                    </w:rPr>
                  </w:pPr>
                  <w:r>
                    <w:rPr>
                      <w:rFonts w:hint="eastAsia" w:ascii="黑体" w:hAnsi="黑体" w:eastAsia="黑体" w:cs="黑体"/>
                    </w:rPr>
                    <w:t>3．办公场所分类处理各类废弃物，有专门收集箱并标识，100%分类回收处理.</w:t>
                  </w:r>
                </w:p>
              </w:tc>
              <w:tc>
                <w:tcPr>
                  <w:tcW w:w="2678" w:type="dxa"/>
                  <w:vAlign w:val="center"/>
                </w:tcPr>
                <w:p>
                  <w:pPr>
                    <w:pStyle w:val="9"/>
                    <w:spacing w:before="60" w:beforeLines="15" w:after="60" w:afterLines="15" w:line="0" w:lineRule="atLeast"/>
                    <w:ind w:left="420" w:leftChars="200"/>
                    <w:rPr>
                      <w:rFonts w:hint="eastAsia" w:ascii="黑体" w:hAnsi="黑体" w:eastAsia="黑体" w:cs="黑体"/>
                      <w:kern w:val="2"/>
                      <w:sz w:val="21"/>
                      <w:szCs w:val="21"/>
                      <w:lang w:val="en-US" w:eastAsia="zh-CN" w:bidi="ar-SA"/>
                    </w:rPr>
                  </w:pPr>
                  <w:r>
                    <w:rPr>
                      <w:rFonts w:hint="eastAsia" w:ascii="黑体" w:hAnsi="黑体" w:eastAsia="黑体" w:cs="黑体"/>
                      <w:bCs/>
                      <w:color w:val="000000"/>
                      <w:sz w:val="21"/>
                      <w:szCs w:val="21"/>
                    </w:rPr>
                    <w:t>处理率＝回收处理数÷应回处理总数×100%</w:t>
                  </w:r>
                </w:p>
              </w:tc>
              <w:tc>
                <w:tcPr>
                  <w:tcW w:w="2678" w:type="dxa"/>
                  <w:vAlign w:val="center"/>
                </w:tcPr>
                <w:p>
                  <w:pPr>
                    <w:spacing w:line="400" w:lineRule="exact"/>
                    <w:jc w:val="center"/>
                    <w:rPr>
                      <w:rFonts w:hint="eastAsia" w:ascii="黑体" w:hAnsi="黑体" w:eastAsia="黑体" w:cs="黑体"/>
                      <w:kern w:val="2"/>
                      <w:sz w:val="21"/>
                      <w:lang w:val="en-US" w:eastAsia="zh-CN" w:bidi="ar-SA"/>
                    </w:rPr>
                  </w:pPr>
                  <w:r>
                    <w:rPr>
                      <w:rFonts w:hint="eastAsia" w:ascii="黑体" w:hAnsi="黑体" w:eastAsia="黑体" w:cs="黑体"/>
                    </w:rPr>
                    <w:t>100%</w:t>
                  </w:r>
                </w:p>
              </w:tc>
            </w:tr>
          </w:tbl>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查</w:t>
            </w:r>
            <w:r>
              <w:rPr>
                <w:rFonts w:hint="eastAsia" w:asciiTheme="minorEastAsia" w:hAnsiTheme="minorEastAsia" w:eastAsiaTheme="minorEastAsia" w:cstheme="minorEastAsia"/>
                <w:sz w:val="21"/>
                <w:szCs w:val="21"/>
                <w:lang w:val="en-US" w:eastAsia="zh-CN"/>
              </w:rPr>
              <w:t>看2020年6-10月目标考核情况，已经达成目标。</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color w:val="auto"/>
                <w:sz w:val="21"/>
                <w:szCs w:val="21"/>
              </w:rPr>
              <w:t>顾客沟通</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color w:val="auto"/>
                <w:sz w:val="21"/>
                <w:szCs w:val="21"/>
              </w:rPr>
              <w:t>8.2.1</w:t>
            </w:r>
          </w:p>
        </w:tc>
        <w:tc>
          <w:tcPr>
            <w:tcW w:w="10927" w:type="dxa"/>
            <w:vAlign w:val="center"/>
          </w:tcPr>
          <w:p>
            <w:pP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color w:val="auto"/>
                <w:sz w:val="21"/>
                <w:szCs w:val="21"/>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未发生顾客投诉。</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rPr>
              <w:t>与产品和服务要求有关的要求确定</w:t>
            </w:r>
          </w:p>
        </w:tc>
        <w:tc>
          <w:tcPr>
            <w:tcW w:w="965" w:type="dxa"/>
            <w:vAlign w:val="center"/>
          </w:tcPr>
          <w:p>
            <w:pPr>
              <w:tabs>
                <w:tab w:val="left" w:pos="341"/>
              </w:tabs>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eastAsia="zh-CN"/>
              </w:rPr>
              <w:tab/>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8.2.2</w:t>
            </w:r>
          </w:p>
        </w:tc>
        <w:tc>
          <w:tcPr>
            <w:tcW w:w="10927" w:type="dxa"/>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该公司主要</w:t>
            </w:r>
            <w:r>
              <w:rPr>
                <w:rFonts w:hint="eastAsia" w:asciiTheme="minorEastAsia" w:hAnsiTheme="minorEastAsia" w:eastAsiaTheme="minorEastAsia" w:cstheme="minorEastAsia"/>
                <w:color w:val="auto"/>
                <w:sz w:val="21"/>
                <w:szCs w:val="21"/>
                <w:lang w:eastAsia="zh-CN"/>
              </w:rPr>
              <w:t>涉及：</w:t>
            </w:r>
          </w:p>
          <w:p>
            <w:pPr>
              <w:rPr>
                <w:rFonts w:hint="eastAsia" w:eastAsia="宋体"/>
                <w:sz w:val="20"/>
                <w:lang w:eastAsia="zh-CN"/>
              </w:rPr>
            </w:pPr>
            <w:bookmarkStart w:id="0" w:name="审核范围"/>
            <w:r>
              <w:rPr>
                <w:sz w:val="20"/>
              </w:rPr>
              <w:t>Q：物业管理，城市生活垃圾清扫、收集、运输，河道保洁</w:t>
            </w:r>
            <w:r>
              <w:rPr>
                <w:rFonts w:hint="eastAsia"/>
                <w:sz w:val="20"/>
                <w:lang w:val="en-US" w:eastAsia="zh-CN"/>
              </w:rPr>
              <w:t xml:space="preserve"> </w:t>
            </w:r>
          </w:p>
          <w:p>
            <w:pPr>
              <w:rPr>
                <w:sz w:val="20"/>
              </w:rPr>
            </w:pPr>
            <w:r>
              <w:rPr>
                <w:sz w:val="20"/>
              </w:rPr>
              <w:t>E：物业管理，城市生活垃圾清扫、收集、运输，河道保洁所涉及场所的相关环境活动</w:t>
            </w:r>
          </w:p>
          <w:p>
            <w:pPr>
              <w:rPr>
                <w:rFonts w:hint="eastAsia" w:asciiTheme="minorEastAsia" w:hAnsiTheme="minorEastAsia" w:eastAsiaTheme="minorEastAsia" w:cstheme="minorEastAsia"/>
                <w:color w:val="auto"/>
                <w:sz w:val="21"/>
                <w:szCs w:val="21"/>
              </w:rPr>
            </w:pPr>
            <w:r>
              <w:rPr>
                <w:sz w:val="20"/>
              </w:rPr>
              <w:t>O：物业管理，城市生活垃圾清扫、收集、运输，河道保洁所涉及场所的相关职业健康安全管理活动</w:t>
            </w:r>
            <w:bookmarkEnd w:id="0"/>
            <w:r>
              <w:rPr>
                <w:rFonts w:hint="eastAsia" w:asciiTheme="minorEastAsia" w:hAnsiTheme="minorEastAsia" w:eastAsiaTheme="minorEastAsia" w:cstheme="minorEastAsia"/>
                <w:color w:val="auto"/>
                <w:sz w:val="21"/>
                <w:szCs w:val="21"/>
              </w:rPr>
              <w:t>该公司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主要依据合同法、国家法律法规、</w:t>
            </w:r>
            <w:r>
              <w:rPr>
                <w:rFonts w:hint="eastAsia" w:asciiTheme="minorEastAsia" w:hAnsiTheme="minorEastAsia" w:eastAsiaTheme="minorEastAsia" w:cstheme="minorEastAsia"/>
                <w:color w:val="auto"/>
                <w:sz w:val="21"/>
                <w:szCs w:val="21"/>
                <w:lang w:eastAsia="zh-CN"/>
              </w:rPr>
              <w:t>环境保护法、环境质量标准等</w:t>
            </w:r>
            <w:r>
              <w:rPr>
                <w:rFonts w:hint="eastAsia" w:asciiTheme="minorEastAsia" w:hAnsiTheme="minorEastAsia" w:eastAsiaTheme="minorEastAsia" w:cstheme="minorEastAsia"/>
                <w:color w:val="auto"/>
                <w:sz w:val="21"/>
                <w:szCs w:val="21"/>
              </w:rPr>
              <w:t>要求进行服务，与产品有关的要求主要体现在与顾客所签定的合同/协议中。</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另外，该公司确定并收集了产品质量法、合同法、</w:t>
            </w:r>
            <w:r>
              <w:rPr>
                <w:rFonts w:hint="eastAsia" w:asciiTheme="minorEastAsia" w:hAnsiTheme="minorEastAsia" w:eastAsiaTheme="minorEastAsia" w:cstheme="minorEastAsia"/>
                <w:color w:val="auto"/>
                <w:sz w:val="21"/>
                <w:szCs w:val="21"/>
                <w:lang w:eastAsia="zh-CN"/>
              </w:rPr>
              <w:t>地方环保条例</w:t>
            </w:r>
            <w:r>
              <w:rPr>
                <w:rFonts w:hint="eastAsia" w:asciiTheme="minorEastAsia" w:hAnsiTheme="minorEastAsia" w:eastAsiaTheme="minorEastAsia" w:cstheme="minorEastAsia"/>
                <w:color w:val="auto"/>
                <w:sz w:val="21"/>
                <w:szCs w:val="21"/>
              </w:rPr>
              <w:t>等相关法律法规，将其中的相关要求作为与产品有关要求的补充。</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color w:val="auto"/>
                <w:sz w:val="21"/>
                <w:szCs w:val="21"/>
              </w:rPr>
              <w:t>该公司目前在服务提供过程中没有附加要求。</w:t>
            </w:r>
          </w:p>
        </w:tc>
        <w:tc>
          <w:tcPr>
            <w:tcW w:w="732" w:type="dxa"/>
          </w:tcPr>
          <w:p>
            <w:pPr>
              <w:spacing w:line="320" w:lineRule="exact"/>
              <w:rPr>
                <w:rFonts w:hint="default"/>
                <w:lang w:val="en-US" w:eastAsia="zh-CN"/>
              </w:rPr>
            </w:pPr>
            <w:r>
              <w:rPr>
                <w:rFonts w:hint="eastAsia"/>
                <w:lang w:val="en-US" w:eastAsia="zh-CN"/>
              </w:rPr>
              <w:t>OK</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3" w:type="dxa"/>
            <w:vAlign w:val="center"/>
          </w:tcPr>
          <w:p>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sz w:val="21"/>
                <w:szCs w:val="21"/>
                <w:highlight w:val="none"/>
              </w:rPr>
              <w:t>与产品和服务要求有关的要求评审</w:t>
            </w:r>
          </w:p>
        </w:tc>
        <w:tc>
          <w:tcPr>
            <w:tcW w:w="965"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Q</w:t>
            </w:r>
          </w:p>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8.2.3</w:t>
            </w:r>
          </w:p>
        </w:tc>
        <w:tc>
          <w:tcPr>
            <w:tcW w:w="10927" w:type="dxa"/>
            <w:vAlign w:val="center"/>
          </w:tcPr>
          <w:p>
            <w:pPr>
              <w:spacing w:line="360" w:lineRule="exact"/>
              <w:rPr>
                <w:rFonts w:hint="eastAsia"/>
              </w:rPr>
            </w:pPr>
            <w:r>
              <w:rPr>
                <w:rFonts w:hint="eastAsia"/>
              </w:rPr>
              <w:t>1）公司首先在合同中明确了顾客对技术服务的质量要求及技术标准、价格、交货方式、验收方式、货款结算方式等明示要求。</w:t>
            </w:r>
          </w:p>
          <w:p>
            <w:pPr>
              <w:spacing w:line="360" w:lineRule="exact"/>
              <w:rPr>
                <w:rFonts w:hint="eastAsia"/>
              </w:rPr>
            </w:pPr>
            <w:r>
              <w:rPr>
                <w:rFonts w:hint="eastAsia"/>
              </w:rPr>
              <w:t>2）确定了技术服务的法律法规要求（技术服务标准等要求）、售后服务等。</w:t>
            </w:r>
          </w:p>
          <w:p>
            <w:pPr>
              <w:rPr>
                <w:rFonts w:hint="eastAsia"/>
              </w:rPr>
            </w:pPr>
            <w:r>
              <w:rPr>
                <w:rFonts w:hint="eastAsia"/>
              </w:rPr>
              <w:t>3）该公司与产品有关要求主要在合同中体现，在合同签订之前，由总经理组织各相关部门以会议或会签的方式进行评审。</w:t>
            </w:r>
          </w:p>
          <w:p>
            <w:pPr>
              <w:ind w:firstLine="420" w:firstLineChars="200"/>
              <w:rPr>
                <w:rFonts w:hint="eastAsia"/>
              </w:rPr>
            </w:pPr>
            <w:r>
              <w:rPr>
                <w:rFonts w:hint="eastAsia"/>
              </w:rPr>
              <w:t>见《合同台帐》，内容包括：序号、顾客名称、合同编号、项目名称、规格型号、评审日期、签定日期、履行情况。</w:t>
            </w:r>
          </w:p>
          <w:p>
            <w:pPr>
              <w:rPr>
                <w:rFonts w:hint="eastAsia"/>
              </w:rPr>
            </w:pPr>
            <w:r>
              <w:rPr>
                <w:rFonts w:hint="eastAsia"/>
              </w:rPr>
              <w:t>抽查销售合同情况</w:t>
            </w:r>
          </w:p>
          <w:p>
            <w:pPr>
              <w:pStyle w:val="2"/>
              <w:tabs>
                <w:tab w:val="left" w:pos="6509"/>
              </w:tabs>
              <w:rPr>
                <w:rFonts w:hint="default"/>
                <w:lang w:val="en-US" w:eastAsia="zh-CN"/>
              </w:rPr>
            </w:pPr>
            <w:r>
              <w:rPr>
                <w:rFonts w:hint="eastAsia"/>
                <w:lang w:val="en-US" w:eastAsia="zh-CN"/>
              </w:rPr>
              <w:t xml:space="preserve">抽1：客户：临海市海洋开发投资有限公司； </w:t>
            </w:r>
          </w:p>
          <w:p>
            <w:pPr>
              <w:pStyle w:val="2"/>
              <w:tabs>
                <w:tab w:val="left" w:pos="6509"/>
              </w:tabs>
              <w:rPr>
                <w:rFonts w:hint="eastAsia"/>
                <w:lang w:val="en-US" w:eastAsia="zh-CN"/>
              </w:rPr>
            </w:pPr>
            <w:r>
              <w:rPr>
                <w:rFonts w:hint="eastAsia"/>
                <w:lang w:val="en-US" w:eastAsia="zh-CN"/>
              </w:rPr>
              <w:t>项目名称：</w:t>
            </w:r>
            <w:r>
              <w:rPr>
                <w:rFonts w:hint="eastAsia"/>
              </w:rPr>
              <w:t>海望家园物业管理合同</w:t>
            </w:r>
          </w:p>
          <w:p>
            <w:pPr>
              <w:pStyle w:val="2"/>
              <w:tabs>
                <w:tab w:val="left" w:pos="6509"/>
              </w:tabs>
              <w:rPr>
                <w:rFonts w:hint="eastAsia"/>
                <w:lang w:val="en-US" w:eastAsia="zh-CN"/>
              </w:rPr>
            </w:pPr>
            <w:r>
              <w:rPr>
                <w:rFonts w:hint="eastAsia"/>
                <w:lang w:val="en-US" w:eastAsia="zh-CN"/>
              </w:rPr>
              <w:t>参加</w:t>
            </w:r>
            <w:r>
              <w:rPr>
                <w:rFonts w:hint="default"/>
                <w:lang w:val="en-US" w:eastAsia="zh-CN"/>
              </w:rPr>
              <w:t>评审</w:t>
            </w:r>
            <w:r>
              <w:rPr>
                <w:rFonts w:hint="eastAsia"/>
                <w:lang w:val="en-US" w:eastAsia="zh-CN"/>
              </w:rPr>
              <w:t>人员：黄军燕、张真晓、王爱丹</w:t>
            </w:r>
            <w:r>
              <w:rPr>
                <w:rFonts w:hint="eastAsia"/>
                <w:lang w:val="en-US" w:eastAsia="zh-CN"/>
              </w:rPr>
              <w:tab/>
            </w:r>
          </w:p>
          <w:p>
            <w:pPr>
              <w:pStyle w:val="2"/>
              <w:tabs>
                <w:tab w:val="left" w:pos="6509"/>
              </w:tabs>
              <w:rPr>
                <w:rFonts w:hint="default"/>
                <w:lang w:val="en-US" w:eastAsia="zh-CN"/>
              </w:rPr>
            </w:pPr>
            <w:r>
              <w:rPr>
                <w:rFonts w:hint="eastAsia"/>
                <w:lang w:val="en-US" w:eastAsia="zh-CN"/>
              </w:rPr>
              <w:t>总经理/管理者代表：严剑江</w:t>
            </w:r>
          </w:p>
          <w:p>
            <w:pPr>
              <w:pStyle w:val="2"/>
              <w:tabs>
                <w:tab w:val="left" w:pos="6509"/>
              </w:tabs>
              <w:rPr>
                <w:rFonts w:hint="eastAsia"/>
                <w:lang w:val="en-US" w:eastAsia="zh-CN"/>
              </w:rPr>
            </w:pPr>
            <w:r>
              <w:rPr>
                <w:rFonts w:hint="eastAsia"/>
                <w:lang w:val="en-US" w:eastAsia="zh-CN"/>
              </w:rPr>
              <w:t>综合部：黄军燕 财务部：王子怡 业务部：张真晓</w:t>
            </w:r>
          </w:p>
          <w:p>
            <w:pPr>
              <w:pStyle w:val="2"/>
              <w:tabs>
                <w:tab w:val="left" w:pos="6509"/>
              </w:tabs>
              <w:rPr>
                <w:rFonts w:hint="default"/>
                <w:lang w:val="en-US" w:eastAsia="zh-CN"/>
              </w:rPr>
            </w:pPr>
            <w:r>
              <w:rPr>
                <w:rFonts w:hint="default"/>
                <w:lang w:val="en-US" w:eastAsia="zh-CN"/>
              </w:rPr>
              <w:t>评审内容</w:t>
            </w:r>
            <w:r>
              <w:rPr>
                <w:rFonts w:hint="eastAsia"/>
                <w:lang w:val="en-US" w:eastAsia="zh-CN"/>
              </w:rPr>
              <w:t>：</w:t>
            </w:r>
          </w:p>
          <w:p>
            <w:pPr>
              <w:numPr>
                <w:ilvl w:val="0"/>
                <w:numId w:val="2"/>
              </w:numPr>
              <w:rPr>
                <w:rFonts w:hint="eastAsia"/>
              </w:rPr>
            </w:pPr>
            <w:r>
              <w:rPr>
                <w:rFonts w:hint="eastAsia"/>
              </w:rPr>
              <w:t>房屋外观：维护房屋外立面整洁。</w:t>
            </w:r>
          </w:p>
          <w:p>
            <w:pPr>
              <w:numPr>
                <w:ilvl w:val="0"/>
                <w:numId w:val="2"/>
              </w:numPr>
            </w:pPr>
            <w:r>
              <w:rPr>
                <w:rFonts w:hint="eastAsia"/>
              </w:rPr>
              <w:t>共用部位、公用设施设备：专人维护保养。</w:t>
            </w:r>
          </w:p>
          <w:p>
            <w:pPr>
              <w:numPr>
                <w:ilvl w:val="0"/>
                <w:numId w:val="2"/>
              </w:numPr>
            </w:pPr>
            <w:r>
              <w:rPr>
                <w:rFonts w:hint="eastAsia"/>
              </w:rPr>
              <w:t>环境卫生：（1）环境整洁、无污染；  （2）垃圾日产日清；</w:t>
            </w:r>
          </w:p>
          <w:p>
            <w:pPr>
              <w:numPr>
                <w:ilvl w:val="0"/>
                <w:numId w:val="2"/>
              </w:numPr>
            </w:pPr>
            <w:r>
              <w:rPr>
                <w:rFonts w:hint="eastAsia"/>
              </w:rPr>
              <w:t>交通秩序与车辆停放：（1）畅通有序； （2）停放整齐；</w:t>
            </w:r>
          </w:p>
          <w:p>
            <w:pPr>
              <w:numPr>
                <w:ilvl w:val="0"/>
                <w:numId w:val="2"/>
              </w:numPr>
            </w:pPr>
            <w:r>
              <w:rPr>
                <w:rFonts w:hint="eastAsia"/>
              </w:rPr>
              <w:t>绿化：（1）养护得当，定期修剪；  （2）美观协调；</w:t>
            </w:r>
          </w:p>
          <w:p>
            <w:pPr>
              <w:numPr>
                <w:ilvl w:val="0"/>
                <w:numId w:val="2"/>
              </w:numPr>
            </w:pPr>
            <w:r>
              <w:rPr>
                <w:rFonts w:hint="eastAsia"/>
              </w:rPr>
              <w:t>房屋公共部位、共用设施小修和急修：（1）小修：2日完成</w:t>
            </w:r>
          </w:p>
          <w:p>
            <w:r>
              <w:rPr>
                <w:rFonts w:hint="eastAsia"/>
              </w:rPr>
              <w:t xml:space="preserve">                                    （2）急修：当日完成</w:t>
            </w:r>
          </w:p>
          <w:p>
            <w:pPr>
              <w:spacing w:line="360" w:lineRule="exact"/>
              <w:rPr>
                <w:rFonts w:hint="eastAsia"/>
                <w:lang w:eastAsia="zh-CN"/>
              </w:rPr>
            </w:pPr>
            <w:r>
              <w:rPr>
                <w:rFonts w:hint="eastAsia"/>
              </w:rPr>
              <w:t>合同签订时间：2019.10.21</w:t>
            </w:r>
            <w:r>
              <w:rPr>
                <w:rFonts w:hint="eastAsia"/>
                <w:lang w:val="en-US" w:eastAsia="zh-CN"/>
              </w:rPr>
              <w:t xml:space="preserve"> </w:t>
            </w:r>
            <w:r>
              <w:rPr>
                <w:rFonts w:hint="eastAsia"/>
                <w:lang w:eastAsia="zh-CN"/>
              </w:rPr>
              <w:t>，</w:t>
            </w:r>
            <w:r>
              <w:rPr>
                <w:rFonts w:hint="eastAsia"/>
              </w:rPr>
              <w:t>合同评审时间：2019.10.21</w:t>
            </w:r>
          </w:p>
          <w:p>
            <w:pPr>
              <w:spacing w:line="360" w:lineRule="exact"/>
              <w:rPr>
                <w:rFonts w:hint="eastAsia"/>
              </w:rPr>
            </w:pPr>
            <w:r>
              <w:rPr>
                <w:rFonts w:hint="eastAsia"/>
              </w:rPr>
              <w:t>以上合同均规定了技术服务内容、双方的权利义务、服务交付方式等内容、交付期等内容，</w:t>
            </w:r>
          </w:p>
          <w:p>
            <w:pPr>
              <w:spacing w:line="360" w:lineRule="exact"/>
              <w:rPr>
                <w:rFonts w:hint="eastAsia"/>
              </w:rPr>
            </w:pPr>
            <w:r>
              <w:rPr>
                <w:rFonts w:hint="eastAsia"/>
              </w:rPr>
              <w:t>顾客要求明确 。均有双方法人签字和加盖的公章</w:t>
            </w:r>
          </w:p>
          <w:p>
            <w:pPr>
              <w:ind w:firstLine="420" w:firstLineChars="200"/>
              <w:rPr>
                <w:rFonts w:hint="eastAsia"/>
              </w:rPr>
            </w:pPr>
            <w:r>
              <w:rPr>
                <w:rFonts w:hint="eastAsia"/>
              </w:rPr>
              <w:t>见以上《合同评审</w:t>
            </w:r>
            <w:r>
              <w:rPr>
                <w:rFonts w:hint="eastAsia"/>
                <w:lang w:val="en-US" w:eastAsia="zh-CN"/>
              </w:rPr>
              <w:t>登记</w:t>
            </w:r>
            <w:r>
              <w:rPr>
                <w:rFonts w:hint="eastAsia"/>
              </w:rPr>
              <w:t>表》，评审内容包括  对服务交付方式、交付能力、质量要求等进行了评审，认为可以满足。有总经理签字。同意签订合同。</w:t>
            </w:r>
          </w:p>
          <w:p>
            <w:pPr>
              <w:pStyle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抽2：</w:t>
            </w:r>
          </w:p>
          <w:p>
            <w:pPr>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 xml:space="preserve">客户：临海市海洋开发投资有限公司； </w:t>
            </w:r>
          </w:p>
          <w:p>
            <w:pP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项目名称：</w:t>
            </w:r>
            <w:r>
              <w:rPr>
                <w:rFonts w:hint="eastAsia" w:ascii="Times New Roman" w:hAnsi="Times New Roman" w:cs="Times New Roman"/>
                <w:szCs w:val="22"/>
              </w:rPr>
              <w:t>河道保洁</w:t>
            </w:r>
          </w:p>
          <w:p>
            <w:pP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参加</w:t>
            </w:r>
            <w:r>
              <w:rPr>
                <w:rFonts w:hint="default" w:ascii="Times New Roman" w:hAnsi="Times New Roman" w:cs="Times New Roman"/>
                <w:szCs w:val="22"/>
                <w:lang w:val="en-US" w:eastAsia="zh-CN"/>
              </w:rPr>
              <w:t>评审</w:t>
            </w:r>
            <w:r>
              <w:rPr>
                <w:rFonts w:hint="eastAsia" w:ascii="Times New Roman" w:hAnsi="Times New Roman" w:cs="Times New Roman"/>
                <w:szCs w:val="22"/>
                <w:lang w:val="en-US" w:eastAsia="zh-CN"/>
              </w:rPr>
              <w:t>人员：黄军燕、张真晓、王爱丹</w:t>
            </w:r>
            <w:r>
              <w:rPr>
                <w:rFonts w:hint="eastAsia" w:ascii="Times New Roman" w:hAnsi="Times New Roman" w:cs="Times New Roman"/>
                <w:szCs w:val="22"/>
                <w:lang w:val="en-US" w:eastAsia="zh-CN"/>
              </w:rPr>
              <w:tab/>
            </w:r>
          </w:p>
          <w:p>
            <w:pPr>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总经理/管理者代表：严剑江</w:t>
            </w:r>
          </w:p>
          <w:p>
            <w:pPr>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综合部：黄军燕 财务部：王子怡 业务部：张真晓</w:t>
            </w:r>
          </w:p>
          <w:p>
            <w:pPr>
              <w:numPr>
                <w:ilvl w:val="0"/>
                <w:numId w:val="0"/>
              </w:numPr>
              <w:rPr>
                <w:rFonts w:hint="eastAsia"/>
                <w:sz w:val="18"/>
                <w:szCs w:val="18"/>
              </w:rPr>
            </w:pPr>
            <w:r>
              <w:rPr>
                <w:rFonts w:hint="eastAsia" w:ascii="Times New Roman" w:hAnsi="Times New Roman" w:cs="Times New Roman"/>
                <w:szCs w:val="22"/>
                <w:lang w:val="en-US" w:eastAsia="zh-CN"/>
              </w:rPr>
              <w:t>评审内容：</w:t>
            </w:r>
          </w:p>
          <w:p>
            <w:pPr>
              <w:numPr>
                <w:ilvl w:val="0"/>
                <w:numId w:val="3"/>
              </w:numPr>
              <w:rPr>
                <w:rFonts w:hint="eastAsia"/>
                <w:sz w:val="21"/>
                <w:szCs w:val="21"/>
              </w:rPr>
            </w:pPr>
            <w:r>
              <w:rPr>
                <w:rFonts w:hint="eastAsia"/>
                <w:sz w:val="21"/>
                <w:szCs w:val="21"/>
              </w:rPr>
              <w:t>配各种清运垃圾车辆1台。</w:t>
            </w:r>
          </w:p>
          <w:p>
            <w:pPr>
              <w:numPr>
                <w:ilvl w:val="0"/>
                <w:numId w:val="3"/>
              </w:numPr>
              <w:rPr>
                <w:sz w:val="21"/>
                <w:szCs w:val="21"/>
              </w:rPr>
            </w:pPr>
            <w:r>
              <w:rPr>
                <w:rFonts w:hint="eastAsia"/>
                <w:sz w:val="21"/>
                <w:szCs w:val="21"/>
              </w:rPr>
              <w:t>每天保洁如有不得少于6名，保洁时间不得少于八小时；自行落实垃圾处理，配备船只2艘。</w:t>
            </w:r>
          </w:p>
          <w:p>
            <w:pPr>
              <w:numPr>
                <w:ilvl w:val="0"/>
                <w:numId w:val="3"/>
              </w:numPr>
              <w:rPr>
                <w:sz w:val="21"/>
                <w:szCs w:val="21"/>
              </w:rPr>
            </w:pPr>
            <w:r>
              <w:rPr>
                <w:rFonts w:hint="eastAsia"/>
                <w:sz w:val="21"/>
                <w:szCs w:val="21"/>
              </w:rPr>
              <w:t>水上作业人员没人配置救生衣一件，每船配备救生圈两个。</w:t>
            </w:r>
          </w:p>
          <w:p>
            <w:pPr>
              <w:numPr>
                <w:ilvl w:val="0"/>
                <w:numId w:val="3"/>
              </w:numPr>
              <w:rPr>
                <w:sz w:val="21"/>
                <w:szCs w:val="21"/>
              </w:rPr>
            </w:pPr>
            <w:r>
              <w:rPr>
                <w:rFonts w:hint="eastAsia"/>
                <w:sz w:val="21"/>
                <w:szCs w:val="21"/>
              </w:rPr>
              <w:t>在同道保洁作业时，保洁人员必须穿上有效救生衣及安全帽，随保洁人员带上船，认真检查船只及机械，确认安全的情况下方可进行作业。凡进入保洁作业现场的人员均不可饮酒。</w:t>
            </w:r>
          </w:p>
          <w:p>
            <w:pPr>
              <w:numPr>
                <w:ilvl w:val="0"/>
                <w:numId w:val="3"/>
              </w:numPr>
              <w:rPr>
                <w:sz w:val="18"/>
                <w:szCs w:val="18"/>
              </w:rPr>
            </w:pPr>
            <w:r>
              <w:rPr>
                <w:rFonts w:hint="eastAsia"/>
                <w:sz w:val="21"/>
                <w:szCs w:val="21"/>
              </w:rPr>
              <w:t>保洁单位及保洁人员的上岗前培训，转用人员必须为年前不超过60周岁的男性。且身体健康，五心脏、高血压、精神病等疾病，识水性，不符合条件的绝对不能录用上岗，在作业时要文明管理，规范操作，避免与沿线群众直接发生纠纷，如遇问题及时互相协商处理。</w:t>
            </w:r>
          </w:p>
          <w:p>
            <w:pPr>
              <w:pStyle w:val="2"/>
            </w:pPr>
            <w:r>
              <w:rPr>
                <w:rFonts w:hint="eastAsia"/>
              </w:rPr>
              <w:t>合同签订时间：2020.01</w:t>
            </w:r>
            <w:r>
              <w:rPr>
                <w:rFonts w:hint="eastAsia"/>
                <w:lang w:val="en-US" w:eastAsia="zh-CN"/>
              </w:rPr>
              <w:t>.25</w:t>
            </w:r>
            <w:r>
              <w:rPr>
                <w:rFonts w:hint="eastAsia"/>
                <w:lang w:eastAsia="zh-CN"/>
              </w:rPr>
              <w:t>，</w:t>
            </w:r>
            <w:r>
              <w:rPr>
                <w:rFonts w:hint="eastAsia"/>
              </w:rPr>
              <w:t>合同评审时间：2020.01</w:t>
            </w:r>
            <w:r>
              <w:rPr>
                <w:rFonts w:hint="eastAsia"/>
                <w:lang w:val="en-US" w:eastAsia="zh-CN"/>
              </w:rPr>
              <w:t>.25</w:t>
            </w:r>
          </w:p>
          <w:p>
            <w:pPr>
              <w:spacing w:line="360" w:lineRule="exact"/>
              <w:rPr>
                <w:rFonts w:hint="eastAsia"/>
              </w:rPr>
            </w:pPr>
            <w:r>
              <w:rPr>
                <w:rFonts w:hint="eastAsia"/>
              </w:rPr>
              <w:t>以上合同均规定了技术服务内容、双方的权利义务、服务交付方式等内容、交付期等内容，</w:t>
            </w:r>
          </w:p>
          <w:p>
            <w:pPr>
              <w:spacing w:line="360" w:lineRule="exact"/>
              <w:rPr>
                <w:rFonts w:hint="eastAsia"/>
              </w:rPr>
            </w:pPr>
            <w:r>
              <w:rPr>
                <w:rFonts w:hint="eastAsia"/>
              </w:rPr>
              <w:t>顾客要求明确 。均有双方法人签字和加盖的公章</w:t>
            </w:r>
          </w:p>
          <w:p>
            <w:pPr>
              <w:ind w:firstLine="420" w:firstLineChars="200"/>
              <w:rPr>
                <w:rFonts w:hint="eastAsia"/>
              </w:rPr>
            </w:pPr>
            <w:r>
              <w:rPr>
                <w:rFonts w:hint="eastAsia"/>
              </w:rPr>
              <w:t>见以上《合同评审</w:t>
            </w:r>
            <w:r>
              <w:rPr>
                <w:rFonts w:hint="eastAsia"/>
                <w:lang w:val="en-US" w:eastAsia="zh-CN"/>
              </w:rPr>
              <w:t>登记</w:t>
            </w:r>
            <w:r>
              <w:rPr>
                <w:rFonts w:hint="eastAsia"/>
              </w:rPr>
              <w:t>表》，评审内容包括  对服务交付方式、交付能力、质量要求等进行了评审，认为可以满足。有总经理签字。同意签订合同。</w:t>
            </w:r>
          </w:p>
          <w:p>
            <w:pPr>
              <w:pStyle w:val="2"/>
              <w:rPr>
                <w:rFonts w:hint="eastAsia"/>
                <w:lang w:val="en-US" w:eastAsia="zh-CN"/>
              </w:rPr>
            </w:pPr>
            <w:r>
              <w:rPr>
                <w:rFonts w:hint="eastAsia"/>
                <w:lang w:val="en-US" w:eastAsia="zh-CN"/>
              </w:rPr>
              <w:t>抽3：</w:t>
            </w:r>
          </w:p>
          <w:p>
            <w:pPr>
              <w:pStyle w:val="2"/>
              <w:rPr>
                <w:rFonts w:hint="default"/>
                <w:lang w:val="en-US" w:eastAsia="zh-CN"/>
              </w:rPr>
            </w:pPr>
            <w:r>
              <w:rPr>
                <w:rFonts w:hint="eastAsia"/>
                <w:lang w:val="en-US" w:eastAsia="zh-CN"/>
              </w:rPr>
              <w:t>客户：</w:t>
            </w:r>
            <w:r>
              <w:rPr>
                <w:rFonts w:hint="eastAsia"/>
                <w:sz w:val="21"/>
                <w:szCs w:val="21"/>
                <w:lang w:eastAsia="zh-CN"/>
              </w:rPr>
              <w:t>浙江海洲制药有限公司</w:t>
            </w:r>
            <w:r>
              <w:rPr>
                <w:rFonts w:hint="eastAsia"/>
                <w:lang w:val="en-US" w:eastAsia="zh-CN"/>
              </w:rPr>
              <w:t xml:space="preserve">； </w:t>
            </w:r>
          </w:p>
          <w:p>
            <w:pPr>
              <w:pStyle w:val="2"/>
              <w:tabs>
                <w:tab w:val="left" w:pos="6509"/>
              </w:tabs>
              <w:rPr>
                <w:rFonts w:hint="default" w:eastAsia="宋体"/>
                <w:lang w:val="en-US" w:eastAsia="zh-CN"/>
              </w:rPr>
            </w:pPr>
            <w:r>
              <w:rPr>
                <w:rFonts w:hint="eastAsia"/>
                <w:lang w:val="en-US" w:eastAsia="zh-CN"/>
              </w:rPr>
              <w:t xml:space="preserve">项目名称：生活垃圾清运； </w:t>
            </w:r>
          </w:p>
          <w:p>
            <w:pPr>
              <w:pStyle w:val="2"/>
              <w:tabs>
                <w:tab w:val="left" w:pos="6509"/>
              </w:tabs>
              <w:rPr>
                <w:rFonts w:hint="eastAsia"/>
                <w:lang w:val="en-US" w:eastAsia="zh-CN"/>
              </w:rPr>
            </w:pPr>
            <w:r>
              <w:rPr>
                <w:rFonts w:hint="eastAsia"/>
                <w:lang w:val="en-US" w:eastAsia="zh-CN"/>
              </w:rPr>
              <w:t>参加</w:t>
            </w:r>
            <w:r>
              <w:rPr>
                <w:rFonts w:hint="default"/>
                <w:lang w:val="en-US" w:eastAsia="zh-CN"/>
              </w:rPr>
              <w:t>评审</w:t>
            </w:r>
            <w:r>
              <w:rPr>
                <w:rFonts w:hint="eastAsia"/>
                <w:lang w:val="en-US" w:eastAsia="zh-CN"/>
              </w:rPr>
              <w:t>人员：黄军燕、张真晓、王爱丹</w:t>
            </w:r>
            <w:r>
              <w:rPr>
                <w:rFonts w:hint="eastAsia"/>
                <w:lang w:val="en-US" w:eastAsia="zh-CN"/>
              </w:rPr>
              <w:tab/>
            </w:r>
          </w:p>
          <w:p>
            <w:pPr>
              <w:pStyle w:val="2"/>
              <w:tabs>
                <w:tab w:val="left" w:pos="6509"/>
              </w:tabs>
              <w:rPr>
                <w:rFonts w:hint="default"/>
                <w:lang w:val="en-US" w:eastAsia="zh-CN"/>
              </w:rPr>
            </w:pPr>
            <w:r>
              <w:rPr>
                <w:rFonts w:hint="eastAsia"/>
                <w:lang w:val="en-US" w:eastAsia="zh-CN"/>
              </w:rPr>
              <w:t>总经理/管理者代表：严剑江</w:t>
            </w:r>
          </w:p>
          <w:p>
            <w:pPr>
              <w:pStyle w:val="2"/>
              <w:tabs>
                <w:tab w:val="left" w:pos="6509"/>
              </w:tabs>
              <w:rPr>
                <w:rFonts w:hint="eastAsia"/>
                <w:lang w:val="en-US" w:eastAsia="zh-CN"/>
              </w:rPr>
            </w:pPr>
            <w:r>
              <w:rPr>
                <w:rFonts w:hint="eastAsia"/>
                <w:lang w:val="en-US" w:eastAsia="zh-CN"/>
              </w:rPr>
              <w:t>综合部：黄军燕 财务部：王子怡 业务部：张真晓</w:t>
            </w:r>
          </w:p>
          <w:p>
            <w:pPr>
              <w:numPr>
                <w:ilvl w:val="0"/>
                <w:numId w:val="0"/>
              </w:numPr>
              <w:rPr>
                <w:rFonts w:hint="eastAsia"/>
                <w:sz w:val="18"/>
                <w:szCs w:val="18"/>
              </w:rPr>
            </w:pPr>
            <w:r>
              <w:rPr>
                <w:rFonts w:hint="eastAsia" w:ascii="Times New Roman" w:hAnsi="Times New Roman" w:cs="Times New Roman"/>
                <w:szCs w:val="22"/>
                <w:lang w:val="en-US" w:eastAsia="zh-CN"/>
              </w:rPr>
              <w:t>评审内容：</w:t>
            </w:r>
          </w:p>
          <w:p>
            <w:pPr>
              <w:numPr>
                <w:ilvl w:val="0"/>
                <w:numId w:val="4"/>
              </w:numPr>
              <w:rPr>
                <w:rFonts w:hint="eastAsia"/>
                <w:sz w:val="18"/>
                <w:szCs w:val="18"/>
              </w:rPr>
            </w:pPr>
            <w:r>
              <w:rPr>
                <w:rFonts w:hint="eastAsia"/>
                <w:sz w:val="18"/>
                <w:szCs w:val="18"/>
              </w:rPr>
              <w:t>必须按要求运送到临海市及头门港等有合法处理机构进行合法处理。</w:t>
            </w:r>
          </w:p>
          <w:p>
            <w:pPr>
              <w:numPr>
                <w:ilvl w:val="0"/>
                <w:numId w:val="4"/>
              </w:numPr>
              <w:rPr>
                <w:sz w:val="18"/>
                <w:szCs w:val="18"/>
              </w:rPr>
            </w:pPr>
            <w:r>
              <w:rPr>
                <w:rFonts w:hint="eastAsia"/>
                <w:sz w:val="18"/>
                <w:szCs w:val="18"/>
              </w:rPr>
              <w:t>运输车辆和装货设备必须符合国家相关法律法规要求，必须遵守交通法律法规。</w:t>
            </w:r>
          </w:p>
          <w:p>
            <w:pPr>
              <w:numPr>
                <w:ilvl w:val="0"/>
                <w:numId w:val="4"/>
              </w:numPr>
              <w:rPr>
                <w:rFonts w:hint="eastAsia" w:ascii="Times New Roman" w:hAnsi="Times New Roman" w:cs="Times New Roman"/>
                <w:szCs w:val="22"/>
                <w:lang w:val="en-US" w:eastAsia="zh-CN"/>
              </w:rPr>
            </w:pPr>
            <w:r>
              <w:rPr>
                <w:rFonts w:hint="eastAsia"/>
                <w:sz w:val="18"/>
                <w:szCs w:val="18"/>
              </w:rPr>
              <w:t>将区域</w:t>
            </w:r>
            <w:r>
              <w:rPr>
                <w:rFonts w:hint="eastAsia" w:ascii="Times New Roman" w:hAnsi="Times New Roman" w:eastAsia="宋体" w:cs="Times New Roman"/>
                <w:bCs w:val="0"/>
                <w:spacing w:val="0"/>
                <w:kern w:val="2"/>
                <w:sz w:val="18"/>
                <w:szCs w:val="18"/>
                <w:lang w:val="en-US" w:eastAsia="zh-CN" w:bidi="ar-SA"/>
              </w:rPr>
              <w:t>内的垃圾运出后，不得随意倾倒。</w:t>
            </w:r>
          </w:p>
          <w:p>
            <w:pPr>
              <w:pStyle w:val="2"/>
              <w:tabs>
                <w:tab w:val="left" w:pos="6509"/>
              </w:tabs>
              <w:rPr>
                <w:rFonts w:hint="eastAsia"/>
                <w:lang w:val="en-US" w:eastAsia="zh-CN"/>
              </w:rPr>
            </w:pPr>
            <w:r>
              <w:rPr>
                <w:rFonts w:hint="eastAsia" w:ascii="Times New Roman" w:hAnsi="Times New Roman" w:cs="Times New Roman"/>
                <w:szCs w:val="22"/>
                <w:lang w:val="en-US" w:eastAsia="zh-CN"/>
              </w:rPr>
              <w:t>情况同上。</w:t>
            </w:r>
          </w:p>
          <w:p>
            <w:pPr>
              <w:pStyle w:val="2"/>
              <w:rPr>
                <w:rFonts w:hint="default" w:asciiTheme="minorEastAsia" w:hAnsiTheme="minorEastAsia" w:eastAsiaTheme="minorEastAsia" w:cstheme="minorEastAsia"/>
                <w:color w:val="auto"/>
                <w:sz w:val="21"/>
                <w:szCs w:val="21"/>
                <w:highlight w:val="none"/>
                <w:lang w:val="en-US" w:eastAsia="zh-CN"/>
              </w:rPr>
            </w:pP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产品和服务要求的变更</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8.2.4</w:t>
            </w:r>
          </w:p>
        </w:tc>
        <w:tc>
          <w:tcPr>
            <w:tcW w:w="10927"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经询问，未发生合同变更及顾客要求发生变更造成与先前合同或订单要求表述存在差异的情况。</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center"/>
          </w:tcPr>
          <w:p>
            <w:pPr>
              <w:rPr>
                <w:rFonts w:hint="eastAsia" w:asciiTheme="minorEastAsia" w:hAnsiTheme="minorEastAsia" w:eastAsiaTheme="minorEastAsia" w:cstheme="minorEastAsia"/>
                <w:color w:val="auto"/>
                <w:sz w:val="21"/>
                <w:szCs w:val="21"/>
              </w:rPr>
            </w:pPr>
            <w:r>
              <w:rPr>
                <w:rFonts w:hint="eastAsia" w:ascii="宋体" w:hAnsi="宋体" w:eastAsia="宋体" w:cs="Arial"/>
                <w:sz w:val="21"/>
                <w:szCs w:val="21"/>
              </w:rPr>
              <w:t>物业管理服务的设计和开发</w:t>
            </w:r>
          </w:p>
        </w:tc>
        <w:tc>
          <w:tcPr>
            <w:tcW w:w="965"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8.3</w:t>
            </w:r>
          </w:p>
        </w:tc>
        <w:tc>
          <w:tcPr>
            <w:tcW w:w="10927" w:type="dxa"/>
            <w:vAlign w:val="top"/>
          </w:tcPr>
          <w:p>
            <w:pPr>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公司的管理手册规定了物业管理服务的设计和开发相关要求；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业务部，有服务提供的开发能力；</w:t>
            </w:r>
          </w:p>
          <w:p>
            <w:pPr>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公司目前现有的设计开发结果体现为《海望家园管理手册》（服务人员要求、礼仪标准、作业要求、保安 安全巡逻、进出车辆、绿化清洁保养、工程维修服务等规范性文件）、道路保洁清扫时间、道路清扫保洁质量标准、作业管理、清扫方案等）、河道保洁（河道清扫保洁及管理要求、保洁作业标准、保洁制度等）； </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服务项目开发，在原有的服务能力基础上，主要依据客户要求，提供项目的投标方案，制定服务方案的过程。</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体系运行以来，未有新项目投标中标的情况； 未提供新项目的设计开发过程。</w:t>
            </w:r>
          </w:p>
          <w:p>
            <w:pPr>
              <w:rPr>
                <w:rFonts w:hint="eastAsia" w:asciiTheme="minorEastAsia" w:hAnsiTheme="minorEastAsia" w:eastAsiaTheme="minorEastAsia" w:cstheme="minorEastAsia"/>
                <w:color w:val="auto"/>
                <w:sz w:val="21"/>
                <w:szCs w:val="21"/>
                <w:lang w:val="en-US" w:eastAsia="zh-CN"/>
              </w:rPr>
            </w:pP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center"/>
          </w:tcPr>
          <w:p>
            <w:pPr>
              <w:rPr>
                <w:rFonts w:hint="default" w:ascii="宋体" w:hAnsi="宋体" w:eastAsia="宋体" w:cs="Arial"/>
                <w:sz w:val="21"/>
                <w:szCs w:val="21"/>
                <w:lang w:val="en-US" w:eastAsia="zh-CN"/>
              </w:rPr>
            </w:pPr>
            <w:r>
              <w:rPr>
                <w:rFonts w:hint="eastAsia" w:ascii="宋体" w:hAnsi="宋体" w:cs="Arial"/>
                <w:sz w:val="21"/>
                <w:szCs w:val="21"/>
                <w:lang w:val="en-US" w:eastAsia="zh-CN"/>
              </w:rPr>
              <w:t>服务交付后活动</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default" w:ascii="宋体" w:hAnsi="宋体" w:eastAsia="宋体" w:cs="Arial"/>
                <w:sz w:val="21"/>
                <w:szCs w:val="21"/>
                <w:lang w:val="en-US" w:eastAsia="zh-CN"/>
              </w:rPr>
            </w:pPr>
            <w:r>
              <w:rPr>
                <w:rFonts w:hint="eastAsia" w:ascii="宋体" w:hAnsi="宋体" w:eastAsia="宋体" w:cs="Arial"/>
                <w:sz w:val="21"/>
                <w:szCs w:val="21"/>
              </w:rPr>
              <w:t>8.</w:t>
            </w:r>
            <w:r>
              <w:rPr>
                <w:rFonts w:hint="eastAsia" w:ascii="宋体" w:hAnsi="宋体" w:cs="Arial"/>
                <w:sz w:val="21"/>
                <w:szCs w:val="21"/>
                <w:lang w:val="en-US" w:eastAsia="zh-CN"/>
              </w:rPr>
              <w:t>5.5</w:t>
            </w:r>
          </w:p>
        </w:tc>
        <w:tc>
          <w:tcPr>
            <w:tcW w:w="10927" w:type="dxa"/>
            <w:vAlign w:val="center"/>
          </w:tcPr>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签订合同后为长期服务合同； 日常服务提供过程中接收客户反馈信息；持续改进日常服务工作。</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173"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w:t>
            </w:r>
          </w:p>
        </w:tc>
        <w:tc>
          <w:tcPr>
            <w:tcW w:w="965"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9.1.2</w:t>
            </w:r>
          </w:p>
        </w:tc>
        <w:tc>
          <w:tcPr>
            <w:tcW w:w="10927" w:type="dxa"/>
            <w:vAlign w:val="center"/>
          </w:tcPr>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公司通过电话，走访等形式，接受顾客反馈，了解顾客顾客满意度信息，发放调查表对顾客满意度进行定量测量。</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提供“顾客满意程度调</w:t>
            </w:r>
            <w:r>
              <w:rPr>
                <w:rFonts w:hint="eastAsia" w:asciiTheme="minorEastAsia" w:hAnsiTheme="minorEastAsia" w:eastAsiaTheme="minorEastAsia" w:cstheme="minorEastAsia"/>
                <w:color w:val="auto"/>
                <w:sz w:val="21"/>
                <w:szCs w:val="21"/>
                <w:lang w:val="en-US" w:eastAsia="zh-CN"/>
              </w:rPr>
              <w:t>d</w:t>
            </w:r>
            <w:r>
              <w:rPr>
                <w:rFonts w:hint="eastAsia" w:asciiTheme="minorEastAsia" w:hAnsiTheme="minorEastAsia" w:eastAsiaTheme="minorEastAsia" w:cstheme="minorEastAsia"/>
                <w:color w:val="auto"/>
                <w:sz w:val="21"/>
                <w:szCs w:val="21"/>
                <w:lang w:val="zh-CN"/>
              </w:rPr>
              <w:t>查表”，调查主要内容：</w:t>
            </w:r>
            <w:r>
              <w:rPr>
                <w:rFonts w:hint="eastAsia" w:asciiTheme="minorEastAsia" w:hAnsiTheme="minorEastAsia" w:eastAsiaTheme="minorEastAsia" w:cstheme="minorEastAsia"/>
                <w:color w:val="auto"/>
                <w:sz w:val="21"/>
                <w:szCs w:val="21"/>
              </w:rPr>
              <w:t>质量、价格、外观、服务等方面的满意程度</w:t>
            </w:r>
            <w:r>
              <w:rPr>
                <w:rFonts w:hint="eastAsia" w:asciiTheme="minorEastAsia" w:hAnsiTheme="minorEastAsia" w:eastAsiaTheme="minorEastAsia" w:cstheme="minorEastAsia"/>
                <w:color w:val="auto"/>
                <w:sz w:val="21"/>
                <w:szCs w:val="21"/>
                <w:lang w:val="zh-CN"/>
              </w:rPr>
              <w:t>等，</w:t>
            </w:r>
            <w:r>
              <w:rPr>
                <w:rFonts w:hint="eastAsia" w:asciiTheme="minorEastAsia" w:hAnsiTheme="minorEastAsia" w:eastAsiaTheme="minorEastAsia" w:cstheme="minorEastAsia"/>
                <w:color w:val="auto"/>
                <w:sz w:val="21"/>
                <w:szCs w:val="21"/>
              </w:rPr>
              <w:t>各项得分求平均值得最终结果</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提供顾客满意调查分析。最终顾客满意率</w:t>
            </w:r>
            <w:r>
              <w:rPr>
                <w:rFonts w:hint="eastAsia" w:asciiTheme="minorEastAsia" w:hAnsiTheme="minorEastAsia" w:eastAsiaTheme="minorEastAsia" w:cstheme="minorEastAsia"/>
                <w:color w:val="auto"/>
                <w:sz w:val="21"/>
                <w:szCs w:val="21"/>
                <w:lang w:val="en-US" w:eastAsia="zh-CN"/>
              </w:rPr>
              <w:t>97</w:t>
            </w:r>
            <w:r>
              <w:rPr>
                <w:rFonts w:hint="eastAsia" w:asciiTheme="minorEastAsia" w:hAnsiTheme="minorEastAsia" w:eastAsiaTheme="minorEastAsia" w:cstheme="minorEastAsia"/>
                <w:color w:val="auto"/>
                <w:sz w:val="21"/>
                <w:szCs w:val="21"/>
              </w:rPr>
              <w:t>%。该结果已提交管理评审。</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173" w:type="dxa"/>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风险管控的策划和实施</w:t>
            </w:r>
          </w:p>
        </w:tc>
        <w:tc>
          <w:tcPr>
            <w:tcW w:w="965" w:type="dxa"/>
            <w:vAlign w:val="top"/>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QEO6.1</w:t>
            </w:r>
          </w:p>
        </w:tc>
        <w:tc>
          <w:tcPr>
            <w:tcW w:w="10927" w:type="dxa"/>
            <w:vAlign w:val="top"/>
          </w:tcPr>
          <w:p>
            <w:pPr>
              <w:pStyle w:val="2"/>
              <w:rPr>
                <w:rFonts w:hint="eastAsia" w:asciiTheme="minorEastAsia" w:hAnsiTheme="minorEastAsia" w:eastAsiaTheme="minorEastAsia" w:cstheme="minorEastAsia"/>
                <w:bCs w:val="0"/>
                <w:color w:val="auto"/>
                <w:spacing w:val="0"/>
                <w:kern w:val="2"/>
                <w:sz w:val="21"/>
                <w:szCs w:val="21"/>
                <w:highlight w:val="none"/>
                <w:lang w:val="en-US" w:eastAsia="zh-CN" w:bidi="ar-SA"/>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公司编制了《风险和机遇分析、评价和应对措施的确定程序》。 风险管理流程：风险识别——风险评估——风险响应——风险控制。</w:t>
            </w:r>
          </w:p>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val="0"/>
                <w:color w:val="auto"/>
                <w:spacing w:val="0"/>
                <w:kern w:val="2"/>
                <w:sz w:val="21"/>
                <w:szCs w:val="21"/>
                <w:highlight w:val="none"/>
                <w:lang w:val="en-US" w:eastAsia="zh-CN" w:bidi="ar-SA"/>
              </w:rPr>
              <w:t>提供风险和机遇评估分析表,对识别的风险和机遇进行评估，并制定了应对风险及机遇的措施。措施有效</w:t>
            </w:r>
            <w:r>
              <w:rPr>
                <w:rFonts w:hint="eastAsia" w:asciiTheme="minorEastAsia" w:hAnsiTheme="minorEastAsia" w:eastAsiaTheme="minorEastAsia" w:cstheme="minorEastAsia"/>
                <w:color w:val="auto"/>
                <w:sz w:val="21"/>
                <w:szCs w:val="21"/>
                <w:highlight w:val="none"/>
                <w:lang w:val="en-US" w:eastAsia="zh-CN"/>
              </w:rPr>
              <w:t>。</w:t>
            </w: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965"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EO:6.1.2/6.1.4</w:t>
            </w:r>
          </w:p>
        </w:tc>
        <w:tc>
          <w:tcPr>
            <w:tcW w:w="10927" w:type="dxa"/>
            <w:vAlign w:val="center"/>
          </w:tcPr>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szCs w:val="21"/>
                <w:lang w:val="en-US" w:eastAsia="zh-CN"/>
              </w:rPr>
              <w:t>同项目部办公场所的的环境因素及控制措施。</w:t>
            </w:r>
          </w:p>
        </w:tc>
        <w:tc>
          <w:tcPr>
            <w:tcW w:w="732" w:type="dxa"/>
          </w:tcPr>
          <w:p>
            <w:pPr>
              <w:rPr>
                <w:rFonts w:hint="eastAsia" w:asciiTheme="minorEastAsia" w:hAnsiTheme="minorEastAsia" w:eastAsiaTheme="minorEastAsia" w:cstheme="minorEastAsia"/>
                <w:sz w:val="21"/>
                <w:szCs w:val="21"/>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73" w:type="dxa"/>
            <w:vAlign w:val="top"/>
          </w:tcPr>
          <w:p>
            <w:pPr>
              <w:spacing w:line="360" w:lineRule="auto"/>
              <w:rPr>
                <w:szCs w:val="21"/>
                <w:u w:val="none"/>
              </w:rPr>
            </w:pPr>
            <w:r>
              <w:rPr>
                <w:rFonts w:hint="eastAsia"/>
                <w:szCs w:val="21"/>
                <w:u w:val="none"/>
              </w:rPr>
              <w:t>运行策划和控制</w:t>
            </w:r>
          </w:p>
          <w:p>
            <w:pPr>
              <w:spacing w:line="360" w:lineRule="auto"/>
              <w:rPr>
                <w:rFonts w:hint="eastAsia" w:ascii="Times New Roman" w:hAnsi="Times New Roman" w:eastAsia="宋体" w:cs="Times New Roman"/>
                <w:b/>
                <w:kern w:val="2"/>
                <w:sz w:val="21"/>
                <w:szCs w:val="21"/>
                <w:u w:val="none"/>
                <w:lang w:val="en-US" w:eastAsia="zh-CN" w:bidi="ar-SA"/>
              </w:rPr>
            </w:pPr>
          </w:p>
        </w:tc>
        <w:tc>
          <w:tcPr>
            <w:tcW w:w="965" w:type="dxa"/>
            <w:vAlign w:val="top"/>
          </w:tcPr>
          <w:p>
            <w:pPr>
              <w:spacing w:line="360" w:lineRule="auto"/>
              <w:rPr>
                <w:rFonts w:hint="eastAsia" w:ascii="Times New Roman" w:hAnsi="Times New Roman" w:eastAsia="宋体" w:cs="Times New Roman"/>
                <w:b/>
                <w:kern w:val="2"/>
                <w:sz w:val="21"/>
                <w:szCs w:val="21"/>
                <w:u w:val="none"/>
                <w:lang w:val="en-US" w:eastAsia="zh-CN" w:bidi="ar-SA"/>
              </w:rPr>
            </w:pPr>
            <w:r>
              <w:rPr>
                <w:rFonts w:hint="eastAsia"/>
                <w:szCs w:val="21"/>
                <w:u w:val="none"/>
              </w:rPr>
              <w:t>E</w:t>
            </w:r>
            <w:r>
              <w:rPr>
                <w:szCs w:val="21"/>
                <w:u w:val="none"/>
              </w:rPr>
              <w:t>O</w:t>
            </w:r>
            <w:r>
              <w:rPr>
                <w:rFonts w:hint="eastAsia"/>
                <w:szCs w:val="21"/>
                <w:u w:val="none"/>
              </w:rPr>
              <w:t>8.1</w:t>
            </w:r>
          </w:p>
        </w:tc>
        <w:tc>
          <w:tcPr>
            <w:tcW w:w="10927" w:type="dxa"/>
            <w:vAlign w:val="center"/>
          </w:tcPr>
          <w:p>
            <w:pPr>
              <w:spacing w:line="360" w:lineRule="auto"/>
              <w:ind w:firstLine="420" w:firstLineChars="200"/>
              <w:rPr>
                <w:rFonts w:hint="eastAsia"/>
              </w:rPr>
            </w:pPr>
            <w:r>
              <w:rPr>
                <w:rFonts w:hint="eastAsia"/>
              </w:rPr>
              <w:t>编制与环境、安全管理体系运行控制有关的文件有《环境因素识别与评价管理程序》、《危险源辨识与风险评价控制措施管理程序》、《对相关方施加影响管理程序》等。</w:t>
            </w:r>
          </w:p>
          <w:p>
            <w:pPr>
              <w:spacing w:line="360" w:lineRule="auto"/>
              <w:ind w:firstLine="420" w:firstLineChars="200"/>
            </w:pPr>
            <w:r>
              <w:rPr>
                <w:rFonts w:hint="eastAsia"/>
              </w:rPr>
              <w:t>1、废水管控</w:t>
            </w:r>
          </w:p>
          <w:p>
            <w:pPr>
              <w:spacing w:line="360" w:lineRule="auto"/>
              <w:ind w:firstLine="420" w:firstLineChars="200"/>
              <w:rPr>
                <w:rFonts w:hint="eastAsia"/>
              </w:rPr>
            </w:pPr>
            <w:r>
              <w:rPr>
                <w:rFonts w:hint="eastAsia"/>
              </w:rPr>
              <w:t>主要生活废水排入政府污水管网统一处理。</w:t>
            </w:r>
          </w:p>
          <w:p>
            <w:pPr>
              <w:spacing w:line="360" w:lineRule="auto"/>
              <w:ind w:firstLine="420" w:firstLineChars="200"/>
            </w:pPr>
            <w:r>
              <w:rPr>
                <w:rFonts w:hint="eastAsia"/>
              </w:rPr>
              <w:t>2、固废管控</w:t>
            </w:r>
          </w:p>
          <w:p>
            <w:pPr>
              <w:spacing w:line="360" w:lineRule="auto"/>
              <w:ind w:firstLine="420" w:firstLineChars="200"/>
              <w:rPr>
                <w:rFonts w:hint="default"/>
                <w:lang w:val="en-US" w:eastAsia="zh-CN"/>
              </w:rPr>
            </w:pPr>
            <w:r>
              <w:rPr>
                <w:rFonts w:hint="eastAsia"/>
                <w:lang w:val="en-US" w:eastAsia="zh-CN"/>
              </w:rPr>
              <w:t>生活垃圾，办公室有垃圾篓集中倒入垃圾站，由公司项目部送至统一地点集中处理。危废（墨盒、硒鼓、灯管）排放由供应商回收处置；</w:t>
            </w:r>
          </w:p>
          <w:p>
            <w:pPr>
              <w:pStyle w:val="25"/>
              <w:numPr>
                <w:ilvl w:val="0"/>
                <w:numId w:val="5"/>
              </w:numPr>
              <w:spacing w:line="360" w:lineRule="auto"/>
              <w:ind w:firstLineChars="0"/>
            </w:pPr>
            <w:r>
              <w:rPr>
                <w:rFonts w:hint="eastAsia"/>
              </w:rPr>
              <w:t>能源资源管控</w:t>
            </w:r>
          </w:p>
          <w:p>
            <w:pPr>
              <w:spacing w:line="360" w:lineRule="auto"/>
              <w:ind w:firstLine="420" w:firstLineChars="200"/>
            </w:pPr>
            <w:r>
              <w:rPr>
                <w:rFonts w:hint="eastAsia"/>
              </w:rPr>
              <w:t>销售过程注意节水、节电、节油，人走关闭开关，未发现有漏水和浪费电能的现象。</w:t>
            </w:r>
          </w:p>
          <w:p>
            <w:pPr>
              <w:spacing w:line="240" w:lineRule="exact"/>
              <w:ind w:leftChars="200"/>
              <w:jc w:val="left"/>
              <w:rPr>
                <w:rFonts w:hint="eastAsia"/>
                <w:lang w:eastAsia="zh-CN"/>
              </w:rPr>
            </w:pPr>
            <w:r>
              <w:t>4</w:t>
            </w:r>
            <w:r>
              <w:rPr>
                <w:rFonts w:hint="eastAsia"/>
              </w:rPr>
              <w:t>、潜在火灾管控</w:t>
            </w:r>
          </w:p>
          <w:p>
            <w:pPr>
              <w:spacing w:line="360" w:lineRule="auto"/>
              <w:ind w:firstLine="420" w:firstLineChars="200"/>
              <w:rPr>
                <w:rFonts w:hint="eastAsia"/>
                <w:lang w:val="en-US" w:eastAsia="zh-CN"/>
              </w:rPr>
            </w:pPr>
            <w:r>
              <w:rPr>
                <w:rFonts w:hint="eastAsia"/>
                <w:lang w:val="en-US" w:eastAsia="zh-CN"/>
              </w:rPr>
              <w:t>公司综合办公室现场配有灭火器和应急预案。办公楼配备了消防栓和灭火器，状态有效，公司办公室办公区域和供水站内配置灭火器，维护保养的道路设有消防栓。</w:t>
            </w:r>
          </w:p>
          <w:p>
            <w:pPr>
              <w:spacing w:line="360" w:lineRule="auto"/>
              <w:ind w:firstLine="420" w:firstLineChars="200"/>
              <w:rPr>
                <w:rFonts w:hint="eastAsia"/>
                <w:lang w:val="en-US" w:eastAsia="zh-CN"/>
              </w:rPr>
            </w:pPr>
            <w:r>
              <w:rPr>
                <w:rFonts w:hint="eastAsia"/>
                <w:lang w:val="en-US" w:eastAsia="zh-CN"/>
              </w:rPr>
              <w:t>5、触电安全防护：</w:t>
            </w:r>
          </w:p>
          <w:p>
            <w:pPr>
              <w:spacing w:line="360" w:lineRule="auto"/>
              <w:ind w:firstLine="420" w:firstLineChars="200"/>
              <w:rPr>
                <w:rFonts w:hint="eastAsia"/>
                <w:lang w:val="en-US" w:eastAsia="zh-CN"/>
              </w:rPr>
            </w:pPr>
            <w:r>
              <w:rPr>
                <w:rFonts w:hint="eastAsia"/>
                <w:lang w:val="en-US" w:eastAsia="zh-CN"/>
              </w:rPr>
              <w:t>现场电线布线合理，漏电保护器状态良好。</w:t>
            </w:r>
          </w:p>
          <w:p>
            <w:pPr>
              <w:spacing w:line="360" w:lineRule="auto"/>
              <w:ind w:firstLine="420" w:firstLineChars="200"/>
            </w:pPr>
            <w:r>
              <w:rPr>
                <w:rFonts w:hint="eastAsia"/>
                <w:lang w:val="en-US" w:eastAsia="zh-CN"/>
              </w:rPr>
              <w:t>6、</w:t>
            </w:r>
            <w:r>
              <w:rPr>
                <w:rFonts w:hint="eastAsia"/>
              </w:rPr>
              <w:t>安全防护</w:t>
            </w:r>
          </w:p>
          <w:p>
            <w:pPr>
              <w:spacing w:line="360" w:lineRule="auto"/>
              <w:ind w:firstLine="420" w:firstLineChars="200"/>
              <w:rPr>
                <w:rFonts w:hint="eastAsia"/>
              </w:rPr>
            </w:pPr>
            <w:r>
              <w:rPr>
                <w:rFonts w:hint="eastAsia"/>
              </w:rPr>
              <w:t>疫情期间进出公司人员进行温度登记，查看健康码，公司给员工发放口罩等劳保用品，不允许私拉乱扔。</w:t>
            </w:r>
          </w:p>
          <w:p>
            <w:pPr>
              <w:pStyle w:val="2"/>
              <w:numPr>
                <w:ilvl w:val="0"/>
                <w:numId w:val="0"/>
              </w:numPr>
              <w:ind w:leftChars="0"/>
              <w:rPr>
                <w:rFonts w:hint="default" w:eastAsia="黑体"/>
                <w:szCs w:val="21"/>
                <w:u w:val="none"/>
                <w:lang w:val="en-US" w:eastAsia="zh-CN"/>
              </w:rPr>
            </w:pPr>
          </w:p>
        </w:tc>
        <w:tc>
          <w:tcPr>
            <w:tcW w:w="732"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vAlign w:val="top"/>
          </w:tcPr>
          <w:p>
            <w:pPr>
              <w:spacing w:line="360" w:lineRule="auto"/>
              <w:rPr>
                <w:rFonts w:hint="eastAsia" w:ascii="Times New Roman" w:hAnsi="Times New Roman" w:eastAsia="宋体" w:cs="Times New Roman"/>
                <w:b/>
                <w:kern w:val="2"/>
                <w:sz w:val="21"/>
                <w:szCs w:val="21"/>
                <w:u w:val="none"/>
                <w:lang w:val="en-US" w:eastAsia="zh-CN" w:bidi="ar-SA"/>
              </w:rPr>
            </w:pPr>
            <w:r>
              <w:rPr>
                <w:rFonts w:hint="eastAsia" w:ascii="宋体" w:hAnsi="宋体" w:cs="宋体"/>
                <w:szCs w:val="21"/>
                <w:u w:val="none"/>
              </w:rPr>
              <w:t>应急响应和准备</w:t>
            </w:r>
          </w:p>
        </w:tc>
        <w:tc>
          <w:tcPr>
            <w:tcW w:w="0" w:type="auto"/>
            <w:vAlign w:val="top"/>
          </w:tcPr>
          <w:p>
            <w:pPr>
              <w:spacing w:line="360" w:lineRule="auto"/>
              <w:rPr>
                <w:rFonts w:hint="eastAsia" w:ascii="Times New Roman" w:hAnsi="Times New Roman" w:eastAsia="宋体" w:cs="Times New Roman"/>
                <w:kern w:val="2"/>
                <w:sz w:val="21"/>
                <w:szCs w:val="21"/>
                <w:u w:val="none"/>
                <w:lang w:val="en-US" w:eastAsia="zh-CN" w:bidi="ar-SA"/>
              </w:rPr>
            </w:pPr>
            <w:r>
              <w:rPr>
                <w:rFonts w:hint="eastAsia"/>
                <w:szCs w:val="21"/>
                <w:u w:val="none"/>
              </w:rPr>
              <w:t>E</w:t>
            </w:r>
            <w:r>
              <w:rPr>
                <w:szCs w:val="21"/>
                <w:u w:val="none"/>
              </w:rPr>
              <w:t>O</w:t>
            </w:r>
            <w:r>
              <w:rPr>
                <w:rFonts w:hint="eastAsia"/>
                <w:szCs w:val="21"/>
                <w:u w:val="none"/>
              </w:rPr>
              <w:t>8.2</w:t>
            </w:r>
          </w:p>
        </w:tc>
        <w:tc>
          <w:tcPr>
            <w:tcW w:w="0" w:type="auto"/>
            <w:vAlign w:val="center"/>
          </w:tcPr>
          <w:p>
            <w:pPr>
              <w:pStyle w:val="28"/>
              <w:spacing w:line="360" w:lineRule="auto"/>
              <w:rPr>
                <w:sz w:val="21"/>
                <w:szCs w:val="21"/>
                <w:u w:val="none"/>
              </w:rPr>
            </w:pPr>
            <w:r>
              <w:rPr>
                <w:rFonts w:hint="eastAsia"/>
                <w:sz w:val="21"/>
                <w:szCs w:val="21"/>
                <w:u w:val="none"/>
              </w:rPr>
              <w:t>编制了《应急准备和响应管理程序》，查看内容基本符合要求。</w:t>
            </w:r>
          </w:p>
          <w:p>
            <w:pPr>
              <w:pStyle w:val="28"/>
              <w:spacing w:line="360" w:lineRule="auto"/>
              <w:ind w:firstLineChars="0"/>
              <w:rPr>
                <w:sz w:val="21"/>
                <w:szCs w:val="21"/>
                <w:u w:val="none"/>
              </w:rPr>
            </w:pPr>
            <w:r>
              <w:rPr>
                <w:rFonts w:hint="eastAsia"/>
                <w:sz w:val="21"/>
                <w:szCs w:val="21"/>
                <w:u w:val="none"/>
                <w:lang w:val="en-US" w:eastAsia="zh-CN"/>
              </w:rPr>
              <w:t>按公司的</w:t>
            </w:r>
            <w:r>
              <w:rPr>
                <w:rFonts w:hint="eastAsia"/>
                <w:sz w:val="21"/>
                <w:szCs w:val="21"/>
                <w:u w:val="none"/>
              </w:rPr>
              <w:t>应急预案包括触电、火灾、中暑等应急预案。</w:t>
            </w:r>
          </w:p>
          <w:p>
            <w:pPr>
              <w:pStyle w:val="28"/>
              <w:spacing w:line="360" w:lineRule="auto"/>
              <w:ind w:firstLineChars="0"/>
              <w:rPr>
                <w:rFonts w:hint="eastAsia" w:cs="Times New Roman"/>
                <w:sz w:val="21"/>
                <w:szCs w:val="21"/>
                <w:u w:val="none"/>
                <w:lang w:val="en-US" w:eastAsia="zh-CN"/>
              </w:rPr>
            </w:pPr>
            <w:r>
              <w:rPr>
                <w:rFonts w:hint="eastAsia" w:cs="Times New Roman"/>
                <w:sz w:val="21"/>
                <w:szCs w:val="21"/>
                <w:u w:val="none"/>
                <w:lang w:val="en-US" w:eastAsia="zh-CN"/>
              </w:rPr>
              <w:t>部门参加公司进行了消防灭火和触电演练。</w:t>
            </w:r>
          </w:p>
          <w:p>
            <w:pPr>
              <w:pStyle w:val="28"/>
              <w:spacing w:line="360" w:lineRule="auto"/>
              <w:ind w:firstLineChars="0"/>
              <w:rPr>
                <w:rFonts w:hint="eastAsia" w:cs="Times New Roman"/>
                <w:sz w:val="21"/>
                <w:szCs w:val="21"/>
                <w:u w:val="none"/>
                <w:lang w:val="en-US" w:eastAsia="zh-CN"/>
              </w:rPr>
            </w:pPr>
            <w:r>
              <w:rPr>
                <w:rFonts w:hint="eastAsia" w:cs="Times New Roman"/>
                <w:sz w:val="21"/>
                <w:szCs w:val="21"/>
                <w:u w:val="none"/>
                <w:lang w:val="en-US" w:eastAsia="zh-CN"/>
              </w:rPr>
              <w:t>查消防灭火演练，演练时间2020年9月20日，地点：物业项目部，对演练过程进行了描述，并对预案的有效性进行了评价。</w:t>
            </w:r>
          </w:p>
          <w:p>
            <w:pPr>
              <w:pStyle w:val="28"/>
              <w:spacing w:line="360" w:lineRule="auto"/>
              <w:ind w:firstLineChars="0"/>
              <w:rPr>
                <w:rFonts w:hint="eastAsia" w:cs="Times New Roman"/>
                <w:sz w:val="21"/>
                <w:szCs w:val="21"/>
                <w:u w:val="none"/>
                <w:lang w:val="en-US" w:eastAsia="zh-CN"/>
              </w:rPr>
            </w:pPr>
            <w:r>
              <w:rPr>
                <w:rFonts w:hint="eastAsia" w:cs="Times New Roman"/>
                <w:sz w:val="21"/>
                <w:szCs w:val="21"/>
                <w:u w:val="none"/>
                <w:lang w:val="en-US" w:eastAsia="zh-CN"/>
              </w:rPr>
              <w:t>查到医疗急救应急演练，演练时间：2020年9月20日，地点：物业项目部； 对演练过程进行了描述，并对预案的有效性进行了评价。</w:t>
            </w:r>
          </w:p>
          <w:p>
            <w:pPr>
              <w:pStyle w:val="28"/>
              <w:spacing w:line="360" w:lineRule="auto"/>
              <w:ind w:firstLine="420" w:firstLineChars="0"/>
              <w:rPr>
                <w:rFonts w:hint="eastAsia" w:ascii="Calibri" w:hAnsi="Calibri" w:eastAsia="宋体" w:cs="Times New Roman"/>
                <w:kern w:val="2"/>
                <w:sz w:val="24"/>
                <w:szCs w:val="21"/>
                <w:u w:val="none"/>
                <w:lang w:val="en-US" w:eastAsia="zh-CN" w:bidi="ar-SA"/>
              </w:rPr>
            </w:pPr>
            <w:r>
              <w:rPr>
                <w:rFonts w:hint="eastAsia" w:cs="Times New Roman"/>
                <w:sz w:val="21"/>
                <w:szCs w:val="21"/>
                <w:u w:val="none"/>
                <w:lang w:val="en-US" w:eastAsia="zh-CN"/>
              </w:rPr>
              <w:t>部门目前未发生火灾、触电人身伤害等事故。</w:t>
            </w:r>
          </w:p>
        </w:tc>
        <w:tc>
          <w:tcPr>
            <w:tcW w:w="0" w:type="auto"/>
          </w:tcPr>
          <w:p>
            <w:pPr>
              <w:rPr>
                <w:rFonts w:hint="eastAsia" w:asciiTheme="minorEastAsia" w:hAnsiTheme="minorEastAsia" w:eastAsiaTheme="minorEastAsia" w:cstheme="minorEastAsia"/>
                <w:sz w:val="21"/>
                <w:szCs w:val="21"/>
              </w:rPr>
            </w:pPr>
          </w:p>
        </w:tc>
      </w:tr>
    </w:tbl>
    <w:p>
      <w:pPr>
        <w:pStyle w:val="12"/>
        <w:rPr>
          <w:rFonts w:hint="eastAsia"/>
        </w:rPr>
      </w:pPr>
    </w:p>
    <w:p>
      <w:pPr>
        <w:pStyle w:val="12"/>
        <w:rPr>
          <w:rFonts w:hint="eastAsia"/>
        </w:rPr>
      </w:pPr>
    </w:p>
    <w:p>
      <w:pPr>
        <w:pStyle w:val="12"/>
        <w:rPr>
          <w:rFonts w:hint="eastAsia"/>
        </w:rPr>
      </w:pPr>
    </w:p>
    <w:p>
      <w:pPr>
        <w:pStyle w:val="12"/>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4"/>
        <w:rFonts w:hint="default"/>
      </w:rPr>
      <w:t>北京国标联合认证有限公司</w:t>
    </w:r>
    <w:r>
      <w:rPr>
        <w:rStyle w:val="24"/>
        <w:rFonts w:hint="default"/>
      </w:rPr>
      <w:tab/>
    </w:r>
    <w:r>
      <w:rPr>
        <w:rStyle w:val="24"/>
        <w:rFonts w:hint="default"/>
      </w:rPr>
      <w:tab/>
    </w:r>
    <w:r>
      <w:rPr>
        <w:rStyle w:val="24"/>
        <w:rFonts w:hint="default"/>
      </w:rPr>
      <w:tab/>
    </w:r>
  </w:p>
  <w:p>
    <w:pPr>
      <w:pStyle w:val="13"/>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Bqrl1gAAAAoBAAAP&#10;AAAAAAAAAAEAIAAAACIAAABkcnMvZG93bnJldi54bWxQSwECFAAUAAAACACHTuJA+A5LVagBAAAs&#10;AwAADgAAAAAAAAABACAAAAAlAQAAZHJzL2Uyb0RvYy54bWxQSwUGAAAAAAYABgBZAQAAP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4"/>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7FE9"/>
    <w:multiLevelType w:val="singleLevel"/>
    <w:tmpl w:val="020D7FE9"/>
    <w:lvl w:ilvl="0" w:tentative="0">
      <w:start w:val="1"/>
      <w:numFmt w:val="decimal"/>
      <w:suff w:val="nothing"/>
      <w:lvlText w:val="%1、"/>
      <w:lvlJc w:val="left"/>
    </w:lvl>
  </w:abstractNum>
  <w:abstractNum w:abstractNumId="1">
    <w:nsid w:val="0DB92DEA"/>
    <w:multiLevelType w:val="multilevel"/>
    <w:tmpl w:val="0DB92DEA"/>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425" w:hanging="425"/>
      </w:pPr>
      <w:rPr>
        <w:rFonts w:hint="default" w:ascii="Calibri" w:hAnsi="Calibri" w:cs="Calibri"/>
        <w:sz w:val="32"/>
        <w:szCs w:val="32"/>
      </w:rPr>
    </w:lvl>
    <w:lvl w:ilvl="2" w:tentative="0">
      <w:start w:val="1"/>
      <w:numFmt w:val="decimal"/>
      <w:pStyle w:val="3"/>
      <w:suff w:val="space"/>
      <w:lvlText w:val="%1.%2.%3"/>
      <w:lvlJc w:val="left"/>
      <w:pPr>
        <w:ind w:left="567" w:hanging="567"/>
      </w:pPr>
      <w:rPr>
        <w:rFonts w:hint="eastAsia"/>
      </w:rPr>
    </w:lvl>
    <w:lvl w:ilvl="3" w:tentative="0">
      <w:start w:val="1"/>
      <w:numFmt w:val="decimal"/>
      <w:suff w:val="space"/>
      <w:lvlText w:val="%1.%2.%3.%4"/>
      <w:lvlJc w:val="left"/>
      <w:pPr>
        <w:ind w:left="1418" w:hanging="567"/>
      </w:pPr>
      <w:rPr>
        <w:rFonts w:hint="eastAsia"/>
        <w:b/>
      </w:rPr>
    </w:lvl>
    <w:lvl w:ilvl="4" w:tentative="0">
      <w:start w:val="1"/>
      <w:numFmt w:val="decimal"/>
      <w:suff w:val="space"/>
      <w:lvlText w:val="%1.%2.%3.%4.%5"/>
      <w:lvlJc w:val="left"/>
      <w:pPr>
        <w:ind w:left="2835" w:hanging="709"/>
      </w:pPr>
      <w:rPr>
        <w:rFonts w:hint="eastAsia"/>
      </w:rPr>
    </w:lvl>
    <w:lvl w:ilvl="5" w:tentative="0">
      <w:start w:val="1"/>
      <w:numFmt w:val="decimal"/>
      <w:suff w:val="space"/>
      <w:lvlText w:val="%1.%2.%3.%4.%5.%6"/>
      <w:lvlJc w:val="left"/>
      <w:pPr>
        <w:ind w:left="2693" w:hanging="992"/>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897AD62"/>
    <w:multiLevelType w:val="singleLevel"/>
    <w:tmpl w:val="4897AD62"/>
    <w:lvl w:ilvl="0" w:tentative="0">
      <w:start w:val="1"/>
      <w:numFmt w:val="decimal"/>
      <w:suff w:val="nothing"/>
      <w:lvlText w:val="%1、"/>
      <w:lvlJc w:val="left"/>
    </w:lvl>
  </w:abstractNum>
  <w:abstractNum w:abstractNumId="3">
    <w:nsid w:val="4DA169EC"/>
    <w:multiLevelType w:val="multilevel"/>
    <w:tmpl w:val="4DA169EC"/>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169CC3D"/>
    <w:multiLevelType w:val="singleLevel"/>
    <w:tmpl w:val="6169CC3D"/>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3905"/>
    <w:rsid w:val="007B3DAF"/>
    <w:rsid w:val="00DB72B2"/>
    <w:rsid w:val="00ED266B"/>
    <w:rsid w:val="00F43426"/>
    <w:rsid w:val="00F72ABE"/>
    <w:rsid w:val="010F4C60"/>
    <w:rsid w:val="01E3771F"/>
    <w:rsid w:val="024F1167"/>
    <w:rsid w:val="027A5C11"/>
    <w:rsid w:val="02B74B3F"/>
    <w:rsid w:val="03314A7D"/>
    <w:rsid w:val="03971E0B"/>
    <w:rsid w:val="03BF4DF3"/>
    <w:rsid w:val="04476F14"/>
    <w:rsid w:val="0458744E"/>
    <w:rsid w:val="050D203E"/>
    <w:rsid w:val="050F7AD6"/>
    <w:rsid w:val="0515091E"/>
    <w:rsid w:val="056F513E"/>
    <w:rsid w:val="05F12FC1"/>
    <w:rsid w:val="06276BA1"/>
    <w:rsid w:val="071E0BD8"/>
    <w:rsid w:val="071E5396"/>
    <w:rsid w:val="07252F75"/>
    <w:rsid w:val="07511AB9"/>
    <w:rsid w:val="077168B6"/>
    <w:rsid w:val="07760118"/>
    <w:rsid w:val="07DD4098"/>
    <w:rsid w:val="08151499"/>
    <w:rsid w:val="08193D3A"/>
    <w:rsid w:val="085F30D4"/>
    <w:rsid w:val="0872572E"/>
    <w:rsid w:val="0875081F"/>
    <w:rsid w:val="08870786"/>
    <w:rsid w:val="08F215E2"/>
    <w:rsid w:val="09296E07"/>
    <w:rsid w:val="09B01C49"/>
    <w:rsid w:val="09E31136"/>
    <w:rsid w:val="09EB1CAA"/>
    <w:rsid w:val="0A165B13"/>
    <w:rsid w:val="0A7372D5"/>
    <w:rsid w:val="0AAD3E63"/>
    <w:rsid w:val="0ABE51AD"/>
    <w:rsid w:val="0B063520"/>
    <w:rsid w:val="0B59105B"/>
    <w:rsid w:val="0BED6A15"/>
    <w:rsid w:val="0C1A06B5"/>
    <w:rsid w:val="0C361B65"/>
    <w:rsid w:val="0C3B40FC"/>
    <w:rsid w:val="0CE5132C"/>
    <w:rsid w:val="0D0518EE"/>
    <w:rsid w:val="0D444194"/>
    <w:rsid w:val="0D4B347F"/>
    <w:rsid w:val="0D570C8A"/>
    <w:rsid w:val="0DDC4A26"/>
    <w:rsid w:val="0E04283D"/>
    <w:rsid w:val="0F033D06"/>
    <w:rsid w:val="0F9C26D4"/>
    <w:rsid w:val="10146BF1"/>
    <w:rsid w:val="104F6DAF"/>
    <w:rsid w:val="107D501B"/>
    <w:rsid w:val="10B27CAD"/>
    <w:rsid w:val="11273C0B"/>
    <w:rsid w:val="1174748E"/>
    <w:rsid w:val="11915D99"/>
    <w:rsid w:val="11EC7CB4"/>
    <w:rsid w:val="120C44D2"/>
    <w:rsid w:val="121C34B5"/>
    <w:rsid w:val="130F1D4C"/>
    <w:rsid w:val="134C3D0E"/>
    <w:rsid w:val="138C3317"/>
    <w:rsid w:val="13A84DED"/>
    <w:rsid w:val="13B66175"/>
    <w:rsid w:val="13ED22A6"/>
    <w:rsid w:val="13FB79B0"/>
    <w:rsid w:val="140B4438"/>
    <w:rsid w:val="14496629"/>
    <w:rsid w:val="1492636B"/>
    <w:rsid w:val="14A062F4"/>
    <w:rsid w:val="161A73B2"/>
    <w:rsid w:val="16D67ED2"/>
    <w:rsid w:val="16E26F0E"/>
    <w:rsid w:val="16F02E90"/>
    <w:rsid w:val="17062B69"/>
    <w:rsid w:val="171B0AC2"/>
    <w:rsid w:val="182164BB"/>
    <w:rsid w:val="188972CF"/>
    <w:rsid w:val="18B95C0D"/>
    <w:rsid w:val="18D068A4"/>
    <w:rsid w:val="19122210"/>
    <w:rsid w:val="194A1301"/>
    <w:rsid w:val="195576C8"/>
    <w:rsid w:val="19CA6AEA"/>
    <w:rsid w:val="1A4A1F1B"/>
    <w:rsid w:val="1AB22DB0"/>
    <w:rsid w:val="1B04548A"/>
    <w:rsid w:val="1B3A1DD3"/>
    <w:rsid w:val="1C4D73A6"/>
    <w:rsid w:val="1C984EA9"/>
    <w:rsid w:val="1CF54D0D"/>
    <w:rsid w:val="1D173593"/>
    <w:rsid w:val="1D5510E6"/>
    <w:rsid w:val="1D8927A9"/>
    <w:rsid w:val="1DAA697C"/>
    <w:rsid w:val="1DBC259A"/>
    <w:rsid w:val="1DFC4614"/>
    <w:rsid w:val="1E57661E"/>
    <w:rsid w:val="1E8D2F4B"/>
    <w:rsid w:val="1F5A25AA"/>
    <w:rsid w:val="1F87166B"/>
    <w:rsid w:val="20093412"/>
    <w:rsid w:val="20221AB6"/>
    <w:rsid w:val="20641CD2"/>
    <w:rsid w:val="206D5617"/>
    <w:rsid w:val="209C2F82"/>
    <w:rsid w:val="20D87DD3"/>
    <w:rsid w:val="21333CB9"/>
    <w:rsid w:val="2155510F"/>
    <w:rsid w:val="215B5EE3"/>
    <w:rsid w:val="2170552A"/>
    <w:rsid w:val="21725EAA"/>
    <w:rsid w:val="21BD1856"/>
    <w:rsid w:val="21EF1CCB"/>
    <w:rsid w:val="21F775B6"/>
    <w:rsid w:val="21FE778F"/>
    <w:rsid w:val="222511D3"/>
    <w:rsid w:val="222A7E1E"/>
    <w:rsid w:val="22A33E3D"/>
    <w:rsid w:val="23C53F61"/>
    <w:rsid w:val="24AF1061"/>
    <w:rsid w:val="2528193B"/>
    <w:rsid w:val="25444A65"/>
    <w:rsid w:val="264941D1"/>
    <w:rsid w:val="26703415"/>
    <w:rsid w:val="268F7A4C"/>
    <w:rsid w:val="26A21C12"/>
    <w:rsid w:val="26E32CAC"/>
    <w:rsid w:val="27416481"/>
    <w:rsid w:val="276F23A0"/>
    <w:rsid w:val="277F67AF"/>
    <w:rsid w:val="27C231BC"/>
    <w:rsid w:val="280C386E"/>
    <w:rsid w:val="28327299"/>
    <w:rsid w:val="283C5AAF"/>
    <w:rsid w:val="28AC6FA1"/>
    <w:rsid w:val="28AD7F2A"/>
    <w:rsid w:val="290772D8"/>
    <w:rsid w:val="29526A59"/>
    <w:rsid w:val="29991719"/>
    <w:rsid w:val="29DB75AB"/>
    <w:rsid w:val="2A0F693C"/>
    <w:rsid w:val="2A4B79CF"/>
    <w:rsid w:val="2A583BDC"/>
    <w:rsid w:val="2B846F6E"/>
    <w:rsid w:val="2BDE2DFD"/>
    <w:rsid w:val="2C1F26D0"/>
    <w:rsid w:val="2C3D292E"/>
    <w:rsid w:val="2C477944"/>
    <w:rsid w:val="2C681735"/>
    <w:rsid w:val="2CB46FDB"/>
    <w:rsid w:val="2D497B9E"/>
    <w:rsid w:val="2DFB27B7"/>
    <w:rsid w:val="2ED42FAB"/>
    <w:rsid w:val="2F366741"/>
    <w:rsid w:val="325B5177"/>
    <w:rsid w:val="32625B19"/>
    <w:rsid w:val="32FA5B66"/>
    <w:rsid w:val="33077788"/>
    <w:rsid w:val="33803AE5"/>
    <w:rsid w:val="33DA419B"/>
    <w:rsid w:val="340D5819"/>
    <w:rsid w:val="34C2320E"/>
    <w:rsid w:val="34FD6C4E"/>
    <w:rsid w:val="357F7BE6"/>
    <w:rsid w:val="359E5DA6"/>
    <w:rsid w:val="36292E46"/>
    <w:rsid w:val="36C67F48"/>
    <w:rsid w:val="36FE6ED4"/>
    <w:rsid w:val="370C0EF6"/>
    <w:rsid w:val="37A03B9A"/>
    <w:rsid w:val="38871868"/>
    <w:rsid w:val="38C773A4"/>
    <w:rsid w:val="38D65753"/>
    <w:rsid w:val="39824704"/>
    <w:rsid w:val="39A15878"/>
    <w:rsid w:val="39AD5135"/>
    <w:rsid w:val="39F545FE"/>
    <w:rsid w:val="3A7733B5"/>
    <w:rsid w:val="3A8F42DA"/>
    <w:rsid w:val="3ACC739E"/>
    <w:rsid w:val="3AF251B7"/>
    <w:rsid w:val="3AFD3559"/>
    <w:rsid w:val="3B1825C5"/>
    <w:rsid w:val="3B320E51"/>
    <w:rsid w:val="3B8023A1"/>
    <w:rsid w:val="3B8519B2"/>
    <w:rsid w:val="3B874061"/>
    <w:rsid w:val="3C676135"/>
    <w:rsid w:val="3CB60938"/>
    <w:rsid w:val="3D0E3869"/>
    <w:rsid w:val="3D586B1B"/>
    <w:rsid w:val="3DCE36CE"/>
    <w:rsid w:val="3EB82705"/>
    <w:rsid w:val="3EC5675F"/>
    <w:rsid w:val="3F767015"/>
    <w:rsid w:val="40543EF5"/>
    <w:rsid w:val="405F7DF3"/>
    <w:rsid w:val="408A5C74"/>
    <w:rsid w:val="40CC02CC"/>
    <w:rsid w:val="40D031F2"/>
    <w:rsid w:val="40D83E9F"/>
    <w:rsid w:val="40E4142D"/>
    <w:rsid w:val="41736CE5"/>
    <w:rsid w:val="41982DB7"/>
    <w:rsid w:val="419D4385"/>
    <w:rsid w:val="420F0402"/>
    <w:rsid w:val="43126C97"/>
    <w:rsid w:val="431E0008"/>
    <w:rsid w:val="434D13B2"/>
    <w:rsid w:val="437753D5"/>
    <w:rsid w:val="43B70C81"/>
    <w:rsid w:val="44292AD4"/>
    <w:rsid w:val="4469254F"/>
    <w:rsid w:val="44B27C2A"/>
    <w:rsid w:val="451A3510"/>
    <w:rsid w:val="46300AAA"/>
    <w:rsid w:val="469B1CAE"/>
    <w:rsid w:val="46AE5FF3"/>
    <w:rsid w:val="4732799B"/>
    <w:rsid w:val="474D75E2"/>
    <w:rsid w:val="48150E11"/>
    <w:rsid w:val="48212EC4"/>
    <w:rsid w:val="4862186A"/>
    <w:rsid w:val="48B614A6"/>
    <w:rsid w:val="48CB5056"/>
    <w:rsid w:val="49370AB5"/>
    <w:rsid w:val="4A0C4B1D"/>
    <w:rsid w:val="4B031B7A"/>
    <w:rsid w:val="4BA4167F"/>
    <w:rsid w:val="4BF806A6"/>
    <w:rsid w:val="4C540BEC"/>
    <w:rsid w:val="4C6427BD"/>
    <w:rsid w:val="4CE66527"/>
    <w:rsid w:val="4D221E11"/>
    <w:rsid w:val="4D271D07"/>
    <w:rsid w:val="4D4D6563"/>
    <w:rsid w:val="4E230FE8"/>
    <w:rsid w:val="4E3C6E2B"/>
    <w:rsid w:val="4E3E4E22"/>
    <w:rsid w:val="4E4832CD"/>
    <w:rsid w:val="4E835676"/>
    <w:rsid w:val="4F0F48AA"/>
    <w:rsid w:val="4FB9214A"/>
    <w:rsid w:val="4FC5339D"/>
    <w:rsid w:val="4FC66683"/>
    <w:rsid w:val="4FD23DCD"/>
    <w:rsid w:val="4FE20E43"/>
    <w:rsid w:val="50243E54"/>
    <w:rsid w:val="50425DAA"/>
    <w:rsid w:val="50A713CB"/>
    <w:rsid w:val="513405CC"/>
    <w:rsid w:val="513813F3"/>
    <w:rsid w:val="515A41FC"/>
    <w:rsid w:val="519B1D3C"/>
    <w:rsid w:val="524D2A61"/>
    <w:rsid w:val="527E73EA"/>
    <w:rsid w:val="52802927"/>
    <w:rsid w:val="53604C26"/>
    <w:rsid w:val="54431A0E"/>
    <w:rsid w:val="54552B6D"/>
    <w:rsid w:val="54D44AC7"/>
    <w:rsid w:val="553F67DC"/>
    <w:rsid w:val="55CE15C1"/>
    <w:rsid w:val="56112655"/>
    <w:rsid w:val="56A42262"/>
    <w:rsid w:val="5711455E"/>
    <w:rsid w:val="57802FAE"/>
    <w:rsid w:val="57B9702B"/>
    <w:rsid w:val="57D07126"/>
    <w:rsid w:val="58260B9B"/>
    <w:rsid w:val="58500DD6"/>
    <w:rsid w:val="5855243C"/>
    <w:rsid w:val="585D3DF0"/>
    <w:rsid w:val="58746F33"/>
    <w:rsid w:val="58CF6491"/>
    <w:rsid w:val="58D25A73"/>
    <w:rsid w:val="58D54B9A"/>
    <w:rsid w:val="59BE02C8"/>
    <w:rsid w:val="59D624CA"/>
    <w:rsid w:val="5A4A3433"/>
    <w:rsid w:val="5AA804F6"/>
    <w:rsid w:val="5B0B47FB"/>
    <w:rsid w:val="5B4B0AC3"/>
    <w:rsid w:val="5B4F64F7"/>
    <w:rsid w:val="5CA0213D"/>
    <w:rsid w:val="5CD64FD9"/>
    <w:rsid w:val="5D156FA2"/>
    <w:rsid w:val="5D551BFA"/>
    <w:rsid w:val="5D6E0C63"/>
    <w:rsid w:val="5DE977F8"/>
    <w:rsid w:val="5F0F1DD3"/>
    <w:rsid w:val="5F207068"/>
    <w:rsid w:val="5F760B65"/>
    <w:rsid w:val="5FA27792"/>
    <w:rsid w:val="5FF35C58"/>
    <w:rsid w:val="60364859"/>
    <w:rsid w:val="603C0D48"/>
    <w:rsid w:val="605F13F0"/>
    <w:rsid w:val="608A1A55"/>
    <w:rsid w:val="60A1719B"/>
    <w:rsid w:val="60E35500"/>
    <w:rsid w:val="6121278F"/>
    <w:rsid w:val="612625AA"/>
    <w:rsid w:val="6148542E"/>
    <w:rsid w:val="61817E3C"/>
    <w:rsid w:val="620F6776"/>
    <w:rsid w:val="62367E65"/>
    <w:rsid w:val="624038C5"/>
    <w:rsid w:val="6265623A"/>
    <w:rsid w:val="628F111D"/>
    <w:rsid w:val="629E1DFA"/>
    <w:rsid w:val="62A86D2A"/>
    <w:rsid w:val="62B23D75"/>
    <w:rsid w:val="62E0271D"/>
    <w:rsid w:val="62EB5301"/>
    <w:rsid w:val="632C14AF"/>
    <w:rsid w:val="6376327D"/>
    <w:rsid w:val="63E65CAD"/>
    <w:rsid w:val="644205E4"/>
    <w:rsid w:val="644D1DFE"/>
    <w:rsid w:val="65364107"/>
    <w:rsid w:val="65DC4836"/>
    <w:rsid w:val="65DF3879"/>
    <w:rsid w:val="661357A0"/>
    <w:rsid w:val="663D1963"/>
    <w:rsid w:val="667A086C"/>
    <w:rsid w:val="66F23DA0"/>
    <w:rsid w:val="67591F27"/>
    <w:rsid w:val="67BF5964"/>
    <w:rsid w:val="67ED0162"/>
    <w:rsid w:val="680C1D11"/>
    <w:rsid w:val="68675294"/>
    <w:rsid w:val="688A2780"/>
    <w:rsid w:val="689E3E83"/>
    <w:rsid w:val="68ED24C0"/>
    <w:rsid w:val="691F79AD"/>
    <w:rsid w:val="698334C9"/>
    <w:rsid w:val="6A996089"/>
    <w:rsid w:val="6AEB0406"/>
    <w:rsid w:val="6B1662A0"/>
    <w:rsid w:val="6B324C90"/>
    <w:rsid w:val="6C075B40"/>
    <w:rsid w:val="6C9A762A"/>
    <w:rsid w:val="6CC64A9C"/>
    <w:rsid w:val="6CDF240E"/>
    <w:rsid w:val="6D3D73A6"/>
    <w:rsid w:val="6DB55520"/>
    <w:rsid w:val="6E32632A"/>
    <w:rsid w:val="6E83674B"/>
    <w:rsid w:val="6F81410E"/>
    <w:rsid w:val="6F9243F5"/>
    <w:rsid w:val="6FCA1424"/>
    <w:rsid w:val="70222ADB"/>
    <w:rsid w:val="70323211"/>
    <w:rsid w:val="706863B3"/>
    <w:rsid w:val="71277622"/>
    <w:rsid w:val="71674FE1"/>
    <w:rsid w:val="716B506C"/>
    <w:rsid w:val="71805FEF"/>
    <w:rsid w:val="71C8773D"/>
    <w:rsid w:val="71E940A1"/>
    <w:rsid w:val="72F8265E"/>
    <w:rsid w:val="73235F29"/>
    <w:rsid w:val="73A823EF"/>
    <w:rsid w:val="74775FC0"/>
    <w:rsid w:val="749414A1"/>
    <w:rsid w:val="76084588"/>
    <w:rsid w:val="76B83908"/>
    <w:rsid w:val="76EA4765"/>
    <w:rsid w:val="77197ED0"/>
    <w:rsid w:val="77392219"/>
    <w:rsid w:val="77AB14FD"/>
    <w:rsid w:val="78624DA5"/>
    <w:rsid w:val="78773C75"/>
    <w:rsid w:val="78AB0C68"/>
    <w:rsid w:val="78E328E5"/>
    <w:rsid w:val="79046A88"/>
    <w:rsid w:val="79130FEA"/>
    <w:rsid w:val="79662E86"/>
    <w:rsid w:val="79EA0D2A"/>
    <w:rsid w:val="7A2141E3"/>
    <w:rsid w:val="7A33156C"/>
    <w:rsid w:val="7AC27882"/>
    <w:rsid w:val="7AF83AAC"/>
    <w:rsid w:val="7B011597"/>
    <w:rsid w:val="7B0924ED"/>
    <w:rsid w:val="7B2075DD"/>
    <w:rsid w:val="7B2A00C7"/>
    <w:rsid w:val="7B5D5082"/>
    <w:rsid w:val="7BD16A01"/>
    <w:rsid w:val="7C3F1BA4"/>
    <w:rsid w:val="7CD32026"/>
    <w:rsid w:val="7CEB71BA"/>
    <w:rsid w:val="7D9C7A9A"/>
    <w:rsid w:val="7DD06F88"/>
    <w:rsid w:val="7DE85FE7"/>
    <w:rsid w:val="7ED21CB4"/>
    <w:rsid w:val="7F806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4"/>
    <w:next w:val="4"/>
    <w:qFormat/>
    <w:uiPriority w:val="0"/>
    <w:pPr>
      <w:keepNext/>
      <w:keepLines/>
      <w:numPr>
        <w:ilvl w:val="2"/>
        <w:numId w:val="1"/>
      </w:numPr>
      <w:spacing w:before="260" w:after="260" w:line="416" w:lineRule="auto"/>
      <w:ind w:leftChars="0"/>
      <w:outlineLvl w:val="2"/>
    </w:pPr>
    <w:rPr>
      <w:b/>
      <w:bCs/>
      <w:kern w:val="0"/>
      <w:sz w:val="30"/>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4">
    <w:name w:val="Block Text"/>
    <w:basedOn w:val="1"/>
    <w:unhideWhenUsed/>
    <w:qFormat/>
    <w:uiPriority w:val="99"/>
    <w:pPr>
      <w:spacing w:after="120" w:afterLines="0" w:afterAutospacing="0"/>
      <w:ind w:left="1440" w:leftChars="700" w:rightChars="700"/>
    </w:pPr>
  </w:style>
  <w:style w:type="paragraph" w:styleId="5">
    <w:name w:val="Body Text"/>
    <w:basedOn w:val="1"/>
    <w:next w:val="6"/>
    <w:qFormat/>
    <w:uiPriority w:val="1"/>
    <w:rPr>
      <w:rFonts w:ascii="宋体" w:hAnsi="宋体" w:eastAsia="宋体" w:cs="宋体"/>
      <w:sz w:val="24"/>
      <w:szCs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semiHidden/>
    <w:unhideWhenUsed/>
    <w:qFormat/>
    <w:uiPriority w:val="99"/>
    <w:pPr>
      <w:spacing w:after="120"/>
      <w:ind w:left="420" w:leftChars="200"/>
    </w:pPr>
  </w:style>
  <w:style w:type="paragraph" w:styleId="10">
    <w:name w:val="Plain Text"/>
    <w:basedOn w:val="1"/>
    <w:qFormat/>
    <w:uiPriority w:val="0"/>
    <w:rPr>
      <w:rFonts w:ascii="宋体" w:hAnsi="Courier New" w:eastAsiaTheme="minorEastAsia" w:cstheme="minorBidi"/>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rPr>
      <w:rFonts w:asciiTheme="minorHAnsi" w:hAnsiTheme="minorHAnsi" w:eastAsiaTheme="minorEastAsia" w:cstheme="minorBidi"/>
    </w:rPr>
  </w:style>
  <w:style w:type="paragraph" w:styleId="15">
    <w:name w:val="Body Text First Indent"/>
    <w:basedOn w:val="5"/>
    <w:unhideWhenUsed/>
    <w:qFormat/>
    <w:uiPriority w:val="99"/>
    <w:pPr>
      <w:spacing w:before="100" w:beforeAutospacing="1"/>
      <w:ind w:firstLine="420" w:firstLineChars="100"/>
    </w:pPr>
  </w:style>
  <w:style w:type="paragraph" w:styleId="16">
    <w:name w:val="Body Text First Indent 2"/>
    <w:basedOn w:val="9"/>
    <w:unhideWhenUsed/>
    <w:qFormat/>
    <w:uiPriority w:val="99"/>
    <w:pPr>
      <w:ind w:firstLine="420" w:firstLineChars="200"/>
    </w:pPr>
    <w:rPr>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21">
    <w:name w:val="页眉 Char"/>
    <w:basedOn w:val="19"/>
    <w:link w:val="13"/>
    <w:qFormat/>
    <w:uiPriority w:val="99"/>
    <w:rPr>
      <w:rFonts w:ascii="Times New Roman" w:hAnsi="Times New Roman" w:eastAsia="宋体" w:cs="Times New Roman"/>
      <w:sz w:val="18"/>
      <w:szCs w:val="18"/>
    </w:rPr>
  </w:style>
  <w:style w:type="character" w:customStyle="1" w:styleId="22">
    <w:name w:val="页脚 Char"/>
    <w:basedOn w:val="19"/>
    <w:link w:val="12"/>
    <w:qFormat/>
    <w:uiPriority w:val="99"/>
    <w:rPr>
      <w:rFonts w:ascii="Times New Roman" w:hAnsi="Times New Roman" w:eastAsia="宋体" w:cs="Times New Roman"/>
      <w:sz w:val="18"/>
      <w:szCs w:val="18"/>
    </w:rPr>
  </w:style>
  <w:style w:type="character" w:customStyle="1" w:styleId="23">
    <w:name w:val="批注框文本 Char"/>
    <w:basedOn w:val="19"/>
    <w:link w:val="11"/>
    <w:semiHidden/>
    <w:qFormat/>
    <w:uiPriority w:val="99"/>
    <w:rPr>
      <w:rFonts w:ascii="Times New Roman" w:hAnsi="Times New Roman" w:eastAsia="宋体" w:cs="Times New Roman"/>
      <w:sz w:val="18"/>
      <w:szCs w:val="18"/>
    </w:rPr>
  </w:style>
  <w:style w:type="character" w:customStyle="1" w:styleId="24">
    <w:name w:val="Char Char1"/>
    <w:qFormat/>
    <w:locked/>
    <w:uiPriority w:val="0"/>
    <w:rPr>
      <w:rFonts w:hint="eastAsia" w:ascii="宋体" w:hAnsi="Courier New" w:eastAsia="宋体"/>
      <w:kern w:val="2"/>
      <w:sz w:val="21"/>
      <w:lang w:val="en-US" w:eastAsia="zh-CN" w:bidi="ar-SA"/>
    </w:rPr>
  </w:style>
  <w:style w:type="paragraph" w:styleId="25">
    <w:name w:val="List Paragraph"/>
    <w:basedOn w:val="1"/>
    <w:unhideWhenUsed/>
    <w:qFormat/>
    <w:uiPriority w:val="99"/>
    <w:pPr>
      <w:ind w:firstLine="420" w:firstLineChars="200"/>
    </w:p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NormalCharacter"/>
    <w:semiHidden/>
    <w:qFormat/>
    <w:uiPriority w:val="0"/>
  </w:style>
  <w:style w:type="paragraph" w:customStyle="1" w:styleId="28">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2020-12-28T06:13:30Z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