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0719-2020-QEO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临海市上东物业有限责任公司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林兵</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王央央</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任泽华</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E:35.15.00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程晓庆</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Q:35.15.00,35.16.03,39.02.01</w:t>
            </w:r>
          </w:p>
          <w:p>
            <w:pPr>
              <w:spacing w:line="240" w:lineRule="exact"/>
              <w:jc w:val="center"/>
              <w:rPr>
                <w:b/>
                <w:color w:val="000000"/>
                <w:sz w:val="20"/>
                <w:szCs w:val="20"/>
              </w:rPr>
            </w:pPr>
            <w:r>
              <w:rPr>
                <w:b/>
                <w:color w:val="000000"/>
                <w:sz w:val="20"/>
                <w:szCs w:val="20"/>
              </w:rPr>
              <w:t>E:35.15.00,35.16.03,39.02.01</w:t>
            </w:r>
          </w:p>
          <w:p>
            <w:pPr>
              <w:spacing w:line="240" w:lineRule="exact"/>
              <w:jc w:val="center"/>
              <w:rPr>
                <w:b/>
                <w:color w:val="000000"/>
                <w:sz w:val="20"/>
                <w:szCs w:val="20"/>
              </w:rPr>
            </w:pPr>
            <w:r>
              <w:rPr>
                <w:b/>
                <w:color w:val="000000"/>
                <w:sz w:val="20"/>
                <w:szCs w:val="20"/>
              </w:rPr>
              <w:t>O:35.15.00,35.16.03,39.02.01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孙太平</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Q:31.04.01</w:t>
            </w:r>
          </w:p>
          <w:p>
            <w:pPr>
              <w:spacing w:line="240" w:lineRule="exact"/>
              <w:jc w:val="center"/>
              <w:rPr>
                <w:b/>
                <w:color w:val="000000"/>
                <w:sz w:val="20"/>
                <w:szCs w:val="20"/>
              </w:rPr>
            </w:pPr>
            <w:r>
              <w:rPr>
                <w:b/>
                <w:color w:val="000000"/>
                <w:sz w:val="20"/>
                <w:szCs w:val="20"/>
              </w:rPr>
              <w:t>E:31.04.01</w:t>
            </w:r>
          </w:p>
          <w:p>
            <w:pPr>
              <w:spacing w:line="240" w:lineRule="exact"/>
              <w:jc w:val="center"/>
              <w:rPr>
                <w:b/>
                <w:color w:val="000000"/>
                <w:sz w:val="20"/>
                <w:szCs w:val="20"/>
              </w:rPr>
            </w:pPr>
            <w:r>
              <w:rPr>
                <w:b/>
                <w:color w:val="000000"/>
                <w:sz w:val="20"/>
                <w:szCs w:val="20"/>
              </w:rPr>
              <w:t>O:31.04.01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临海市上东物业有限责任公司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浙江省台州市临海市头门港新区靖海大道9-1号（自主申报）</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317000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浙江省台州市临海市头门港新区靖海大道9-1号（自主申报）</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317000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严剑江</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0576-89368007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杨振威</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严剑江</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941863110@qq.com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Q：物业管理，城市生活垃圾清扫、收集、运输，河道保洁(限许可范围内）</w:t>
            </w:r>
          </w:p>
          <w:p>
            <w:pPr>
              <w:spacing w:line="400" w:lineRule="exact"/>
              <w:rPr>
                <w:rFonts w:ascii="宋体" w:hAnsi="宋体"/>
                <w:b/>
                <w:color w:val="000000"/>
                <w:sz w:val="20"/>
                <w:szCs w:val="20"/>
              </w:rPr>
            </w:pPr>
            <w:r>
              <w:rPr>
                <w:rFonts w:ascii="宋体" w:hAnsi="宋体"/>
                <w:b/>
                <w:color w:val="000000"/>
                <w:sz w:val="20"/>
                <w:szCs w:val="20"/>
              </w:rPr>
              <w:t>E：物业管理，城市生活垃圾清扫、收集、运输，河道保洁(限许可范围内）所涉及场所的相关环境活动</w:t>
            </w:r>
          </w:p>
          <w:p>
            <w:pPr>
              <w:spacing w:line="400" w:lineRule="exact"/>
              <w:rPr>
                <w:rFonts w:ascii="宋体" w:hAnsi="宋体"/>
                <w:b/>
                <w:color w:val="000000"/>
                <w:sz w:val="20"/>
                <w:szCs w:val="20"/>
              </w:rPr>
            </w:pPr>
            <w:r>
              <w:rPr>
                <w:rFonts w:ascii="宋体" w:hAnsi="宋体"/>
                <w:b/>
                <w:color w:val="000000"/>
                <w:sz w:val="20"/>
                <w:szCs w:val="20"/>
              </w:rPr>
              <w:t>O：物业管理，城市生活垃圾清扫、收集、运输，河道保洁(限许可范围内）所涉及场所的相关职业健康安全管理活动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Q：31.04.01;35.15.00;35.16.03;39.02.01</w:t>
            </w:r>
          </w:p>
          <w:p>
            <w:pPr>
              <w:spacing w:line="280" w:lineRule="exact"/>
              <w:rPr>
                <w:rFonts w:ascii="宋体"/>
                <w:b/>
                <w:color w:val="000000"/>
                <w:sz w:val="20"/>
                <w:szCs w:val="20"/>
              </w:rPr>
            </w:pPr>
            <w:r>
              <w:rPr>
                <w:rFonts w:ascii="宋体"/>
                <w:b/>
                <w:color w:val="000000"/>
                <w:sz w:val="20"/>
                <w:szCs w:val="20"/>
              </w:rPr>
              <w:t>E：31.04.01;35.15.00;35.16.03;39.02.01</w:t>
            </w:r>
          </w:p>
          <w:p>
            <w:pPr>
              <w:spacing w:line="280" w:lineRule="exact"/>
              <w:rPr>
                <w:rFonts w:ascii="宋体"/>
                <w:b/>
                <w:color w:val="000000"/>
                <w:sz w:val="20"/>
                <w:szCs w:val="20"/>
              </w:rPr>
            </w:pPr>
            <w:r>
              <w:rPr>
                <w:rFonts w:ascii="宋体"/>
                <w:b/>
                <w:color w:val="000000"/>
                <w:sz w:val="20"/>
                <w:szCs w:val="20"/>
              </w:rPr>
              <w:t>O：31.04.01;35.15.00;35.16.03;39.02.01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 xml:space="preserve">管理手册、程序文件、外来文件、法规文件、重要环境因素、不可接受风险清单等； </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管理层、综合办公室、项目部、品管部、业务部、采购部、财务部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r>
              <w:rPr>
                <w:rFonts w:hint="eastAsia" w:ascii="宋体" w:hAnsi="宋体"/>
                <w:b/>
                <w:color w:val="000000"/>
                <w:sz w:val="20"/>
                <w:szCs w:val="20"/>
              </w:rPr>
              <w:t>服务：</w:t>
            </w:r>
            <w:r>
              <w:t>Q：物业管理，城市生活垃圾清扫、收集、运输，河道保洁(限许可范围内）</w:t>
            </w:r>
          </w:p>
          <w:p>
            <w:r>
              <w:t>E：物业管理，城市生活垃圾清扫、收集、运输，河道保洁(限许可范围内）所涉及场所的相关环境活动</w:t>
            </w:r>
          </w:p>
          <w:p>
            <w:pPr>
              <w:tabs>
                <w:tab w:val="left" w:pos="360"/>
              </w:tabs>
              <w:ind w:left="360" w:hanging="360"/>
              <w:rPr>
                <w:rFonts w:ascii="宋体"/>
                <w:b/>
                <w:color w:val="000000"/>
                <w:sz w:val="20"/>
                <w:szCs w:val="20"/>
              </w:rPr>
            </w:pPr>
            <w:r>
              <w:t>O：物业管理，城市生活垃圾清扫、收集、运输，河道保洁(限许可范围内）所涉及场所的相关职业健康安全管理活动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hAnsi="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综合办公室、项目部、品管部、业务部、采购部、财务部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项目部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品管部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项目部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项目部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hint="eastAsia" w:ascii="宋体" w:hAnsi="宋体" w:eastAsia="宋体" w:cs="Times New Roman"/>
                <w:color w:val="000000"/>
                <w:sz w:val="20"/>
                <w:szCs w:val="20"/>
              </w:rPr>
              <w:t>浙江省台州市临海市头门港新区靖海大道9-1号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2个； 海望家园管理处</w:t>
            </w:r>
            <w:r>
              <w:rPr>
                <w:rFonts w:hint="eastAsia" w:ascii="宋体" w:hAnsi="宋体" w:eastAsia="宋体" w:cs="Times New Roman"/>
                <w:color w:val="000000"/>
                <w:sz w:val="20"/>
                <w:szCs w:val="20"/>
                <w:lang w:val="en-US" w:eastAsia="zh-CN"/>
              </w:rPr>
              <w:t>、南洋道路管理处</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default" w:ascii="宋体" w:eastAsia="宋体"/>
                <w:color w:val="000000"/>
                <w:sz w:val="20"/>
                <w:szCs w:val="20"/>
                <w:lang w:val="en-US" w:eastAsia="zh-CN"/>
              </w:rPr>
            </w:pPr>
            <w:r>
              <w:rPr>
                <w:rFonts w:hint="eastAsia" w:ascii="宋体" w:hAnsi="宋体"/>
                <w:color w:val="000000"/>
                <w:sz w:val="20"/>
                <w:szCs w:val="20"/>
              </w:rPr>
              <w:t>受审核方位于：</w:t>
            </w:r>
            <w:r>
              <w:rPr>
                <w:rFonts w:hint="eastAsia" w:ascii="宋体" w:hAnsi="宋体" w:eastAsia="宋体" w:cs="Times New Roman"/>
                <w:color w:val="000000"/>
                <w:sz w:val="20"/>
                <w:szCs w:val="20"/>
              </w:rPr>
              <w:t>浙江省台州市临海市头门港新区靖海大道9-1号</w:t>
            </w:r>
            <w:r>
              <w:rPr>
                <w:rFonts w:hint="eastAsia" w:ascii="宋体" w:hAnsi="宋体" w:eastAsia="宋体" w:cs="Times New Roman"/>
                <w:color w:val="000000"/>
                <w:sz w:val="20"/>
                <w:szCs w:val="20"/>
                <w:lang w:eastAsia="zh-CN"/>
              </w:rPr>
              <w:t>；</w:t>
            </w:r>
            <w:r>
              <w:rPr>
                <w:rFonts w:hint="eastAsia" w:ascii="宋体" w:hAnsi="宋体" w:eastAsia="宋体" w:cs="Times New Roman"/>
                <w:color w:val="000000"/>
                <w:sz w:val="20"/>
                <w:szCs w:val="20"/>
                <w:lang w:val="en-US" w:eastAsia="zh-CN"/>
              </w:rPr>
              <w:t xml:space="preserve">  </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 xml:space="preserve">城市生活垃圾经营性清扫、收集、运输服务许可证；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□产品技术标准号：</w:t>
            </w:r>
            <w:r>
              <w:rPr>
                <w:rFonts w:hint="eastAsia" w:ascii="宋体" w:hAnsi="宋体"/>
                <w:color w:val="000000"/>
                <w:spacing w:val="-10"/>
                <w:sz w:val="20"/>
                <w:szCs w:val="20"/>
                <w:lang w:val="en-US" w:eastAsia="zh-CN"/>
              </w:rPr>
              <w:t xml:space="preserve">     </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r>
              <w:rPr>
                <w:rFonts w:hint="eastAsia" w:ascii="宋体" w:hAnsi="宋体"/>
                <w:color w:val="000000"/>
                <w:spacing w:val="-10"/>
                <w:sz w:val="20"/>
                <w:szCs w:val="20"/>
                <w:lang w:val="en-US" w:eastAsia="zh-CN"/>
              </w:rPr>
              <w:t xml:space="preserve">SD20191030-5海望家园物业管理合同; SD20200710-85垃圾清运协议书等；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rPr>
            </w:pPr>
            <w:r>
              <w:rPr>
                <w:rFonts w:hint="eastAsia"/>
              </w:rPr>
              <w:t>物业管理流程：</w:t>
            </w:r>
          </w:p>
          <w:p>
            <w:pPr>
              <w:rPr>
                <w:rFonts w:hint="eastAsia"/>
              </w:rPr>
            </w:pPr>
            <w:r>
              <w:rPr>
                <w:rFonts w:hint="eastAsia"/>
              </w:rPr>
              <w:t>签订合同→项目策划→前期摸排→成立物业管理处→项目入驻→提供服务→征求意见→完善体系→服务持续改进</w:t>
            </w:r>
          </w:p>
          <w:p>
            <w:pPr>
              <w:rPr>
                <w:rFonts w:hint="eastAsia"/>
                <w:szCs w:val="22"/>
              </w:rPr>
            </w:pPr>
            <w:r>
              <w:rPr>
                <w:rFonts w:hint="eastAsia"/>
                <w:szCs w:val="22"/>
              </w:rPr>
              <w:t>城市生活垃圾清扫、收集、运输流程：</w:t>
            </w:r>
          </w:p>
          <w:p>
            <w:pPr>
              <w:rPr>
                <w:rFonts w:hint="eastAsia"/>
                <w:szCs w:val="22"/>
              </w:rPr>
            </w:pPr>
            <w:r>
              <w:rPr>
                <w:rFonts w:hint="eastAsia"/>
                <w:szCs w:val="22"/>
              </w:rPr>
              <w:t>签订合同→制定工作标准→获取垃圾清运指标→提供清扫、收集、运输服务→征求意见→完善体系→服务持续改进</w:t>
            </w:r>
          </w:p>
          <w:p>
            <w:pPr>
              <w:rPr>
                <w:rFonts w:hint="eastAsia"/>
                <w:szCs w:val="22"/>
              </w:rPr>
            </w:pPr>
            <w:r>
              <w:rPr>
                <w:rFonts w:hint="eastAsia"/>
                <w:szCs w:val="22"/>
              </w:rPr>
              <w:t>河道保洁流程：</w:t>
            </w:r>
          </w:p>
          <w:p>
            <w:pPr>
              <w:rPr>
                <w:rFonts w:ascii="宋体"/>
                <w:color w:val="000000"/>
                <w:sz w:val="20"/>
                <w:szCs w:val="20"/>
              </w:rPr>
            </w:pPr>
            <w:r>
              <w:rPr>
                <w:rFonts w:hint="eastAsia"/>
                <w:szCs w:val="22"/>
              </w:rPr>
              <w:t>签订合同→制定工作标准→提供服务→征求意见→完善体系→服务持续改进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 xml:space="preserve">服务过程全过程；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 xml:space="preserve">岗位职责、道路清扫作业管理、道路保洁管理制度、河道保洁员指导书等；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 xml:space="preserve">服务全过程；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 xml:space="preserve">提供外包方保安经营许可证等供方评价材料；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 xml:space="preserve">清运车辆、清扫物业等物业作业必备消耗设备、电工作业橡胶绝缘鞋等；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 xml:space="preserve">无特种设备；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钢卷尺、万用表；</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hAnsi="Times New Roman" w:eastAsia="宋体" w:cs="Times New Roman"/>
                <w:color w:val="000000"/>
                <w:sz w:val="20"/>
                <w:szCs w:val="20"/>
              </w:rPr>
              <w:t>：潜在火灾事故的发生</w:t>
            </w:r>
            <w:r>
              <w:rPr>
                <w:rFonts w:hint="eastAsia" w:ascii="宋体" w:hAnsi="Times New Roman" w:eastAsia="宋体" w:cs="Times New Roman"/>
                <w:color w:val="000000"/>
                <w:sz w:val="20"/>
                <w:szCs w:val="20"/>
                <w:lang w:eastAsia="zh-CN"/>
              </w:rPr>
              <w:t>、</w:t>
            </w:r>
            <w:r>
              <w:rPr>
                <w:rFonts w:hint="eastAsia" w:ascii="宋体" w:hAnsi="Times New Roman" w:eastAsia="宋体" w:cs="Times New Roman"/>
                <w:color w:val="000000"/>
                <w:sz w:val="20"/>
                <w:szCs w:val="20"/>
              </w:rPr>
              <w:t>固体危废弃物的排放</w:t>
            </w:r>
            <w:r>
              <w:rPr>
                <w:rFonts w:hint="eastAsia" w:ascii="宋体" w:hAnsi="Times New Roman" w:eastAsia="宋体" w:cs="Times New Roman"/>
                <w:color w:val="000000"/>
                <w:sz w:val="20"/>
                <w:szCs w:val="20"/>
                <w:lang w:eastAsia="zh-CN"/>
              </w:rPr>
              <w:t>；</w:t>
            </w:r>
            <w:r>
              <w:rPr>
                <w:rFonts w:hint="eastAsia" w:ascii="宋体" w:hAnsi="Times New Roman" w:eastAsia="宋体" w:cs="Times New Roman"/>
                <w:color w:val="000000"/>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针对重要环境因素建立了运行控制程序：管理方案控制程序</w:t>
            </w:r>
            <w:r>
              <w:rPr>
                <w:rFonts w:hint="eastAsia" w:ascii="宋体"/>
                <w:color w:val="000000"/>
                <w:sz w:val="20"/>
                <w:szCs w:val="20"/>
                <w:lang w:eastAsia="zh-CN"/>
              </w:rPr>
              <w:t>、</w:t>
            </w:r>
            <w:r>
              <w:rPr>
                <w:rFonts w:hint="eastAsia" w:ascii="宋体"/>
                <w:color w:val="000000"/>
                <w:sz w:val="20"/>
                <w:szCs w:val="20"/>
              </w:rPr>
              <w:t>环境因素识别与评价管理程序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应急预案有：消防应急预案（火灾应急预案）</w:t>
            </w:r>
            <w:r>
              <w:rPr>
                <w:rFonts w:hint="eastAsia" w:ascii="宋体"/>
                <w:color w:val="000000"/>
                <w:sz w:val="20"/>
                <w:szCs w:val="20"/>
                <w:lang w:eastAsia="zh-CN"/>
              </w:rPr>
              <w:t>、防台防讯防雷应急预案、公共卫生突发事件应急预案</w:t>
            </w:r>
            <w:r>
              <w:rPr>
                <w:rFonts w:hint="eastAsia" w:ascii="宋体"/>
                <w:color w:val="000000"/>
                <w:sz w:val="20"/>
                <w:szCs w:val="20"/>
                <w:lang w:val="en-US" w:eastAsia="zh-CN"/>
              </w:rPr>
              <w:t xml:space="preserve">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hAnsi="Times New Roman" w:eastAsia="宋体" w:cs="Times New Roman"/>
                <w:color w:val="000000"/>
                <w:sz w:val="20"/>
                <w:szCs w:val="20"/>
              </w:rPr>
              <w:t>：触电</w:t>
            </w:r>
            <w:r>
              <w:rPr>
                <w:rFonts w:hint="eastAsia" w:ascii="宋体" w:hAnsi="Times New Roman" w:eastAsia="宋体" w:cs="Times New Roman"/>
                <w:color w:val="000000"/>
                <w:sz w:val="20"/>
                <w:szCs w:val="20"/>
                <w:lang w:eastAsia="zh-CN"/>
              </w:rPr>
              <w:t>、</w:t>
            </w:r>
            <w:r>
              <w:rPr>
                <w:rFonts w:hint="eastAsia" w:ascii="宋体" w:hAnsi="Times New Roman" w:eastAsia="宋体" w:cs="Times New Roman"/>
                <w:color w:val="000000"/>
                <w:sz w:val="20"/>
                <w:szCs w:val="20"/>
              </w:rPr>
              <w:t>火灾</w:t>
            </w:r>
            <w:r>
              <w:rPr>
                <w:rFonts w:hint="eastAsia" w:ascii="宋体" w:hAnsi="Times New Roman" w:eastAsia="宋体" w:cs="Times New Roman"/>
                <w:color w:val="000000"/>
                <w:sz w:val="20"/>
                <w:szCs w:val="20"/>
                <w:lang w:eastAsia="zh-CN"/>
              </w:rPr>
              <w:t>、</w:t>
            </w:r>
            <w:r>
              <w:rPr>
                <w:rFonts w:hint="eastAsia" w:ascii="宋体" w:hAnsi="Times New Roman" w:eastAsia="宋体" w:cs="Times New Roman"/>
                <w:color w:val="000000"/>
                <w:sz w:val="20"/>
                <w:szCs w:val="20"/>
              </w:rPr>
              <w:t>机械伤害</w:t>
            </w:r>
            <w:r>
              <w:rPr>
                <w:rFonts w:hint="eastAsia" w:ascii="宋体" w:hAnsi="Times New Roman" w:eastAsia="宋体" w:cs="Times New Roman"/>
                <w:color w:val="000000"/>
                <w:sz w:val="20"/>
                <w:szCs w:val="20"/>
                <w:lang w:eastAsia="zh-CN"/>
              </w:rPr>
              <w:t>、</w:t>
            </w:r>
            <w:r>
              <w:rPr>
                <w:rFonts w:hint="eastAsia" w:ascii="宋体" w:hAnsi="Times New Roman" w:eastAsia="宋体" w:cs="Times New Roman"/>
                <w:color w:val="000000"/>
                <w:sz w:val="20"/>
                <w:szCs w:val="20"/>
              </w:rPr>
              <w:t>意外伤害</w:t>
            </w:r>
            <w:r>
              <w:rPr>
                <w:rFonts w:hint="eastAsia" w:ascii="宋体" w:hAnsi="Times New Roman" w:eastAsia="宋体" w:cs="Times New Roman"/>
                <w:color w:val="000000"/>
                <w:sz w:val="20"/>
                <w:szCs w:val="20"/>
                <w:lang w:val="en-US" w:eastAsia="zh-CN"/>
              </w:rPr>
              <w:t>及传染病感染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针对不可接受风险建立了运行控制程序：管理方案控制程序</w:t>
            </w:r>
            <w:r>
              <w:rPr>
                <w:rFonts w:hint="eastAsia" w:ascii="宋体"/>
                <w:color w:val="000000"/>
                <w:sz w:val="20"/>
                <w:szCs w:val="20"/>
                <w:lang w:eastAsia="zh-CN"/>
              </w:rPr>
              <w:t>、</w:t>
            </w:r>
            <w:r>
              <w:rPr>
                <w:rFonts w:hint="eastAsia" w:ascii="宋体"/>
                <w:color w:val="000000"/>
                <w:sz w:val="20"/>
                <w:szCs w:val="20"/>
              </w:rPr>
              <w:t>危险源辨识与风险评价控制措施管理程</w:t>
            </w:r>
            <w:r>
              <w:rPr>
                <w:rFonts w:hint="eastAsia" w:ascii="宋体"/>
                <w:color w:val="000000"/>
                <w:sz w:val="20"/>
                <w:szCs w:val="20"/>
                <w:lang w:eastAsia="zh-CN"/>
              </w:rPr>
              <w:t>；</w:t>
            </w:r>
            <w:r>
              <w:rPr>
                <w:rFonts w:hint="eastAsia" w:ascii="宋体"/>
                <w:color w:val="000000"/>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43</w:t>
            </w:r>
            <w:r>
              <w:rPr>
                <w:rFonts w:hint="eastAsia" w:ascii="宋体"/>
                <w:color w:val="000000"/>
                <w:sz w:val="20"/>
                <w:szCs w:val="20"/>
              </w:rPr>
              <w:t>人，其中管理人员：</w:t>
            </w:r>
            <w:r>
              <w:rPr>
                <w:rFonts w:hint="eastAsia" w:ascii="宋体"/>
                <w:color w:val="000000"/>
                <w:sz w:val="20"/>
                <w:szCs w:val="20"/>
                <w:lang w:val="en-US" w:eastAsia="zh-CN"/>
              </w:rPr>
              <w:t>10</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20</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hint="eastAsia" w:ascii="宋体"/>
                <w:color w:val="000000"/>
                <w:sz w:val="20"/>
                <w:szCs w:val="20"/>
                <w:lang w:val="en-US" w:eastAsia="zh-CN"/>
              </w:rPr>
              <w:t>16</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 xml:space="preserve">综合办公室、项目部及分现场、业务和采购过程；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 xml:space="preserve">文件管理过程、项目部服务实施过程（三类）、采购和分包实施过程；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 xml:space="preserve">项目部及作业场所；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项目部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 xml:space="preserve">项目部作业场所； </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项目部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 xml:space="preserve">项目部作业场所； </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编制内部审核计划；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查看审核计划和检查表，基本覆盖了管理体系的全范围。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了解内审结论是什么？内审发现</w:t>
            </w:r>
            <w:r>
              <w:rPr>
                <w:rFonts w:ascii="宋体" w:hAnsi="宋体"/>
                <w:b/>
                <w:color w:val="000000"/>
                <w:sz w:val="20"/>
                <w:szCs w:val="20"/>
              </w:rPr>
              <w:t>3</w:t>
            </w:r>
            <w:r>
              <w:rPr>
                <w:rFonts w:hint="eastAsia" w:ascii="宋体" w:hAnsi="宋体"/>
                <w:b/>
                <w:color w:val="000000"/>
                <w:sz w:val="20"/>
                <w:szCs w:val="20"/>
              </w:rPr>
              <w:t>个不符合项；已采取改进措施；审核结果为管体系运行适宜、充分和有效。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编制管理评审计划；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输入信息主要体现在各部门的总结报告及内审结果；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编制管理评审报告，提出三项改进建议；评审结论为基本有效充分和适宜；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vAlign w:val="top"/>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40" w:firstLineChars="100"/>
        <w:rPr>
          <w:rFonts w:ascii="宋体"/>
          <w:b/>
          <w:bCs/>
          <w:color w:val="000000"/>
          <w:sz w:val="26"/>
          <w:szCs w:val="26"/>
        </w:rPr>
      </w:pPr>
      <w:r>
        <w:rPr>
          <w:rFonts w:ascii="宋体" w:hAnsi="宋体"/>
          <w:kern w:val="2"/>
          <w:sz w:val="24"/>
          <w:lang w:val="en-US" w:eastAsia="zh-CN" w:bidi="ar-SA"/>
        </w:rPr>
        <w:drawing>
          <wp:anchor distT="0" distB="0" distL="114300" distR="114300" simplePos="0" relativeHeight="251661312" behindDoc="1" locked="0" layoutInCell="1" allowOverlap="1">
            <wp:simplePos x="0" y="0"/>
            <wp:positionH relativeFrom="column">
              <wp:posOffset>1784350</wp:posOffset>
            </wp:positionH>
            <wp:positionV relativeFrom="paragraph">
              <wp:posOffset>224790</wp:posOffset>
            </wp:positionV>
            <wp:extent cx="711200" cy="514350"/>
            <wp:effectExtent l="0" t="0" r="5080" b="381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6">
                      <a:lum contrast="6000"/>
                    </a:blip>
                    <a:stretch>
                      <a:fillRect/>
                    </a:stretch>
                  </pic:blipFill>
                  <pic:spPr>
                    <a:xfrm>
                      <a:off x="0" y="0"/>
                      <a:ext cx="711200" cy="51435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rFonts w:hint="default" w:eastAsia="宋体"/>
          <w:sz w:val="22"/>
          <w:szCs w:val="22"/>
          <w:lang w:val="en-US" w:eastAsia="zh-CN"/>
        </w:rPr>
        <w:drawing>
          <wp:anchor distT="0" distB="0" distL="114300" distR="114300" simplePos="0" relativeHeight="251669504" behindDoc="1" locked="0" layoutInCell="1" allowOverlap="1">
            <wp:simplePos x="0" y="0"/>
            <wp:positionH relativeFrom="column">
              <wp:posOffset>4459605</wp:posOffset>
            </wp:positionH>
            <wp:positionV relativeFrom="paragraph">
              <wp:posOffset>45085</wp:posOffset>
            </wp:positionV>
            <wp:extent cx="868680" cy="425450"/>
            <wp:effectExtent l="0" t="0" r="0" b="1270"/>
            <wp:wrapNone/>
            <wp:docPr id="5" name="图片 5" descr="程晓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程晓庆"/>
                    <pic:cNvPicPr>
                      <a:picLocks noChangeAspect="1"/>
                    </pic:cNvPicPr>
                  </pic:nvPicPr>
                  <pic:blipFill>
                    <a:blip r:embed="rId7"/>
                    <a:stretch>
                      <a:fillRect/>
                    </a:stretch>
                  </pic:blipFill>
                  <pic:spPr>
                    <a:xfrm>
                      <a:off x="0" y="0"/>
                      <a:ext cx="868680" cy="425450"/>
                    </a:xfrm>
                    <a:prstGeom prst="rect">
                      <a:avLst/>
                    </a:prstGeom>
                  </pic:spPr>
                </pic:pic>
              </a:graphicData>
            </a:graphic>
          </wp:anchor>
        </w:drawing>
      </w:r>
      <w:r>
        <w:rPr>
          <w:rFonts w:hint="default" w:eastAsia="宋体"/>
          <w:sz w:val="22"/>
          <w:szCs w:val="22"/>
          <w:lang w:val="en-US" w:eastAsia="zh-CN"/>
        </w:rPr>
        <w:drawing>
          <wp:anchor distT="0" distB="0" distL="114300" distR="114300" simplePos="0" relativeHeight="251668480" behindDoc="1" locked="0" layoutInCell="1" allowOverlap="1">
            <wp:simplePos x="0" y="0"/>
            <wp:positionH relativeFrom="column">
              <wp:posOffset>3659505</wp:posOffset>
            </wp:positionH>
            <wp:positionV relativeFrom="paragraph">
              <wp:posOffset>36195</wp:posOffset>
            </wp:positionV>
            <wp:extent cx="731520" cy="470535"/>
            <wp:effectExtent l="0" t="0" r="0" b="1905"/>
            <wp:wrapNone/>
            <wp:docPr id="4" name="图片 4" descr="孙太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孙太平"/>
                    <pic:cNvPicPr>
                      <a:picLocks noChangeAspect="1"/>
                    </pic:cNvPicPr>
                  </pic:nvPicPr>
                  <pic:blipFill>
                    <a:blip r:embed="rId8"/>
                    <a:stretch>
                      <a:fillRect/>
                    </a:stretch>
                  </pic:blipFill>
                  <pic:spPr>
                    <a:xfrm>
                      <a:off x="0" y="0"/>
                      <a:ext cx="731520" cy="470535"/>
                    </a:xfrm>
                    <a:prstGeom prst="rect">
                      <a:avLst/>
                    </a:prstGeom>
                  </pic:spPr>
                </pic:pic>
              </a:graphicData>
            </a:graphic>
          </wp:anchor>
        </w:drawing>
      </w:r>
      <w:r>
        <w:rPr>
          <w:rFonts w:hint="default" w:eastAsia="宋体"/>
          <w:sz w:val="22"/>
          <w:szCs w:val="22"/>
          <w:lang w:val="en-US" w:eastAsia="zh-CN"/>
        </w:rPr>
        <w:drawing>
          <wp:anchor distT="0" distB="0" distL="114300" distR="114300" simplePos="0" relativeHeight="251667456" behindDoc="1" locked="0" layoutInCell="1" allowOverlap="1">
            <wp:simplePos x="0" y="0"/>
            <wp:positionH relativeFrom="column">
              <wp:posOffset>2839085</wp:posOffset>
            </wp:positionH>
            <wp:positionV relativeFrom="paragraph">
              <wp:posOffset>71755</wp:posOffset>
            </wp:positionV>
            <wp:extent cx="822960" cy="407035"/>
            <wp:effectExtent l="0" t="0" r="0" b="4445"/>
            <wp:wrapNone/>
            <wp:docPr id="3" name="图片 3" descr="王央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王央央"/>
                    <pic:cNvPicPr>
                      <a:picLocks noChangeAspect="1"/>
                    </pic:cNvPicPr>
                  </pic:nvPicPr>
                  <pic:blipFill>
                    <a:blip r:embed="rId9"/>
                    <a:stretch>
                      <a:fillRect/>
                    </a:stretch>
                  </pic:blipFill>
                  <pic:spPr>
                    <a:xfrm>
                      <a:off x="0" y="0"/>
                      <a:ext cx="822960" cy="407035"/>
                    </a:xfrm>
                    <a:prstGeom prst="rect">
                      <a:avLst/>
                    </a:prstGeom>
                  </pic:spPr>
                </pic:pic>
              </a:graphicData>
            </a:graphic>
          </wp:anchor>
        </w:drawing>
      </w:r>
      <w:r>
        <w:rPr>
          <w:rFonts w:ascii="宋体" w:hAnsi="宋体"/>
          <w:kern w:val="2"/>
          <w:sz w:val="24"/>
          <w:lang w:val="en-US" w:eastAsia="zh-CN" w:bidi="ar-SA"/>
        </w:rPr>
        <w:drawing>
          <wp:anchor distT="0" distB="0" distL="114300" distR="114300" simplePos="0" relativeHeight="251666432" behindDoc="1" locked="0" layoutInCell="1" allowOverlap="1">
            <wp:simplePos x="0" y="0"/>
            <wp:positionH relativeFrom="column">
              <wp:posOffset>1986280</wp:posOffset>
            </wp:positionH>
            <wp:positionV relativeFrom="paragraph">
              <wp:posOffset>92710</wp:posOffset>
            </wp:positionV>
            <wp:extent cx="818515" cy="413385"/>
            <wp:effectExtent l="0" t="0" r="4445" b="13335"/>
            <wp:wrapNone/>
            <wp:docPr id="6" name="图片 3"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任泽华"/>
                    <pic:cNvPicPr>
                      <a:picLocks noChangeAspect="1"/>
                    </pic:cNvPicPr>
                  </pic:nvPicPr>
                  <pic:blipFill>
                    <a:blip r:embed="rId10"/>
                    <a:stretch>
                      <a:fillRect/>
                    </a:stretch>
                  </pic:blipFill>
                  <pic:spPr>
                    <a:xfrm>
                      <a:off x="0" y="0"/>
                      <a:ext cx="818515" cy="41338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2020-12-28</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48" w:type="dxa"/>
            <w:vAlign w:val="top"/>
          </w:tcPr>
          <w:p>
            <w:pPr>
              <w:spacing w:before="40" w:after="40"/>
              <w:rPr>
                <w:rFonts w:hint="eastAsia" w:ascii="宋体" w:eastAsia="宋体"/>
                <w:color w:val="000000"/>
                <w:sz w:val="24"/>
                <w:szCs w:val="24"/>
                <w:lang w:val="en-US" w:eastAsia="zh-CN"/>
              </w:rPr>
            </w:pPr>
            <w:r>
              <w:rPr>
                <w:rFonts w:hint="eastAsia" w:ascii="宋体" w:hAnsi="宋体"/>
                <w:sz w:val="21"/>
                <w:lang w:val="en-US" w:eastAsia="zh-CN"/>
              </w:rPr>
              <w:t>1</w:t>
            </w:r>
          </w:p>
        </w:tc>
        <w:tc>
          <w:tcPr>
            <w:tcW w:w="5681" w:type="dxa"/>
            <w:vAlign w:val="top"/>
          </w:tcPr>
          <w:p>
            <w:pPr>
              <w:spacing w:before="40" w:after="40"/>
              <w:rPr>
                <w:color w:val="000000"/>
                <w:sz w:val="24"/>
                <w:szCs w:val="24"/>
              </w:rPr>
            </w:pPr>
            <w:r>
              <w:rPr>
                <w:rFonts w:hint="eastAsia" w:ascii="宋体" w:hAnsi="宋体"/>
                <w:sz w:val="21"/>
                <w:lang w:val="en-US" w:eastAsia="zh-CN"/>
              </w:rPr>
              <w:t xml:space="preserve">封面及内容，仅写了ISO45001; 未写国家标准GB/T45001; </w:t>
            </w:r>
          </w:p>
        </w:tc>
        <w:tc>
          <w:tcPr>
            <w:tcW w:w="1688" w:type="dxa"/>
            <w:vAlign w:val="top"/>
          </w:tcPr>
          <w:p>
            <w:pPr>
              <w:spacing w:before="40" w:after="40"/>
              <w:rPr>
                <w:color w:val="000000"/>
                <w:sz w:val="32"/>
                <w:szCs w:val="32"/>
              </w:rPr>
            </w:pPr>
          </w:p>
        </w:tc>
        <w:tc>
          <w:tcPr>
            <w:tcW w:w="1811" w:type="dxa"/>
            <w:vAlign w:val="top"/>
          </w:tcPr>
          <w:p>
            <w:pPr>
              <w:spacing w:before="40" w:after="40"/>
              <w:rPr>
                <w:color w:val="000000"/>
                <w:sz w:val="32"/>
                <w:szCs w:val="32"/>
              </w:rPr>
            </w:pPr>
            <w:r>
              <w:rPr>
                <w:rFonts w:hint="eastAsia" w:ascii="宋体" w:hAnsi="宋体"/>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48" w:type="dxa"/>
            <w:vAlign w:val="top"/>
          </w:tcPr>
          <w:p>
            <w:pPr>
              <w:spacing w:before="40" w:after="40"/>
              <w:rPr>
                <w:rFonts w:ascii="宋体"/>
                <w:color w:val="000000"/>
                <w:sz w:val="24"/>
                <w:szCs w:val="24"/>
              </w:rPr>
            </w:pPr>
            <w:r>
              <w:rPr>
                <w:rFonts w:hint="eastAsia" w:ascii="宋体" w:hAnsi="宋体"/>
                <w:sz w:val="21"/>
                <w:lang w:val="en-US" w:eastAsia="zh-CN"/>
              </w:rPr>
              <w:t>2</w:t>
            </w:r>
          </w:p>
        </w:tc>
        <w:tc>
          <w:tcPr>
            <w:tcW w:w="5681" w:type="dxa"/>
            <w:vAlign w:val="top"/>
          </w:tcPr>
          <w:p>
            <w:pPr>
              <w:spacing w:before="40" w:after="40"/>
              <w:rPr>
                <w:color w:val="000000"/>
                <w:sz w:val="24"/>
                <w:szCs w:val="24"/>
              </w:rPr>
            </w:pPr>
            <w:r>
              <w:rPr>
                <w:rFonts w:hint="eastAsia" w:ascii="宋体" w:hAnsi="宋体"/>
                <w:sz w:val="21"/>
                <w:lang w:val="en-US" w:eastAsia="zh-CN"/>
              </w:rPr>
              <w:t>管理手册4.3未说明有无外包过程。</w:t>
            </w:r>
          </w:p>
        </w:tc>
        <w:tc>
          <w:tcPr>
            <w:tcW w:w="1688" w:type="dxa"/>
            <w:vAlign w:val="top"/>
          </w:tcPr>
          <w:p>
            <w:pPr>
              <w:spacing w:before="40" w:after="40"/>
              <w:rPr>
                <w:color w:val="000000"/>
                <w:sz w:val="32"/>
                <w:szCs w:val="32"/>
              </w:rPr>
            </w:pPr>
          </w:p>
        </w:tc>
        <w:tc>
          <w:tcPr>
            <w:tcW w:w="1811" w:type="dxa"/>
            <w:vAlign w:val="top"/>
          </w:tcPr>
          <w:p>
            <w:pPr>
              <w:spacing w:before="40" w:after="40"/>
              <w:rPr>
                <w:color w:val="000000"/>
                <w:sz w:val="32"/>
                <w:szCs w:val="32"/>
              </w:rPr>
            </w:pPr>
            <w:r>
              <w:rPr>
                <w:rFonts w:hint="eastAsia" w:ascii="宋体" w:hAnsi="宋体"/>
                <w:sz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48" w:type="dxa"/>
            <w:vAlign w:val="top"/>
          </w:tcPr>
          <w:p>
            <w:pPr>
              <w:spacing w:before="40" w:after="40"/>
              <w:rPr>
                <w:rFonts w:ascii="宋体"/>
                <w:color w:val="000000"/>
                <w:sz w:val="24"/>
                <w:szCs w:val="24"/>
              </w:rPr>
            </w:pPr>
            <w:r>
              <w:rPr>
                <w:rFonts w:hint="eastAsia" w:ascii="宋体" w:hAnsi="宋体"/>
                <w:sz w:val="21"/>
                <w:lang w:val="en-US" w:eastAsia="zh-CN"/>
              </w:rPr>
              <w:t>3</w:t>
            </w:r>
          </w:p>
        </w:tc>
        <w:tc>
          <w:tcPr>
            <w:tcW w:w="5681" w:type="dxa"/>
            <w:vAlign w:val="top"/>
          </w:tcPr>
          <w:p>
            <w:pPr>
              <w:spacing w:before="40" w:after="40"/>
              <w:rPr>
                <w:color w:val="000000"/>
                <w:sz w:val="24"/>
                <w:szCs w:val="24"/>
              </w:rPr>
            </w:pPr>
            <w:r>
              <w:rPr>
                <w:rFonts w:hint="eastAsia" w:ascii="宋体" w:hAnsi="宋体"/>
                <w:sz w:val="21"/>
                <w:lang w:val="en-US" w:eastAsia="zh-CN"/>
              </w:rPr>
              <w:t>附件2中，QEO条款职能分配表合并说明，有条款重复；建议适用时标注体系条款；</w:t>
            </w:r>
          </w:p>
        </w:tc>
        <w:tc>
          <w:tcPr>
            <w:tcW w:w="1688" w:type="dxa"/>
            <w:vAlign w:val="top"/>
          </w:tcPr>
          <w:p>
            <w:pPr>
              <w:spacing w:before="40" w:after="40"/>
              <w:rPr>
                <w:color w:val="000000"/>
                <w:sz w:val="32"/>
                <w:szCs w:val="32"/>
              </w:rPr>
            </w:pPr>
          </w:p>
        </w:tc>
        <w:tc>
          <w:tcPr>
            <w:tcW w:w="1811" w:type="dxa"/>
            <w:vAlign w:val="top"/>
          </w:tcPr>
          <w:p>
            <w:pPr>
              <w:spacing w:before="40" w:after="40"/>
              <w:rPr>
                <w:color w:val="000000"/>
                <w:sz w:val="32"/>
                <w:szCs w:val="32"/>
              </w:rPr>
            </w:pPr>
            <w:r>
              <w:rPr>
                <w:rFonts w:hint="eastAsia" w:ascii="宋体" w:hAnsi="宋体"/>
                <w:sz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林兵</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12</w:t>
            </w:r>
            <w:r>
              <w:rPr>
                <w:rFonts w:hint="eastAsia"/>
                <w:b/>
                <w:color w:val="000000"/>
                <w:sz w:val="22"/>
                <w:szCs w:val="22"/>
              </w:rPr>
              <w:t>月</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lang w:val="en-US" w:eastAsia="zh-CN"/>
              </w:rPr>
              <w:t>严剑江</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12</w:t>
            </w:r>
            <w:r>
              <w:rPr>
                <w:rFonts w:hint="eastAsia"/>
                <w:b/>
                <w:color w:val="000000"/>
                <w:sz w:val="22"/>
                <w:szCs w:val="22"/>
              </w:rPr>
              <w:t>月</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林兵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12</w:t>
            </w:r>
            <w:r>
              <w:rPr>
                <w:rFonts w:hint="eastAsia"/>
                <w:b/>
                <w:color w:val="000000"/>
                <w:sz w:val="22"/>
                <w:szCs w:val="22"/>
              </w:rPr>
              <w:t>月</w:t>
            </w:r>
            <w:r>
              <w:rPr>
                <w:rFonts w:hint="eastAsia"/>
                <w:b/>
                <w:color w:val="000000"/>
                <w:sz w:val="22"/>
                <w:szCs w:val="22"/>
                <w:lang w:val="en-US" w:eastAsia="zh-CN"/>
              </w:rPr>
              <w:t>28</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B52B01"/>
    <w:rsid w:val="295A69BC"/>
    <w:rsid w:val="34456A84"/>
    <w:rsid w:val="577479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autoSpaceDE w:val="0"/>
      <w:autoSpaceDN w:val="0"/>
      <w:adjustRightInd w:val="0"/>
      <w:jc w:val="center"/>
      <w:outlineLvl w:val="0"/>
    </w:pPr>
    <w:rPr>
      <w:color w:val="FFFF00"/>
      <w:kern w:val="0"/>
      <w:sz w:val="44"/>
      <w:szCs w:val="20"/>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2020-12-28T07:08:51Z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