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84"/>
          <w:szCs w:val="84"/>
        </w:rPr>
      </w:pPr>
      <w:bookmarkStart w:id="0" w:name="合同编号Add"/>
      <w:r>
        <w:rPr>
          <w:rFonts w:hint="eastAsia" w:ascii="宋体" w:hAnsi="宋体"/>
          <w:b/>
          <w:bCs/>
          <w:sz w:val="24"/>
          <w:lang w:val="en-US" w:eastAsia="zh-CN"/>
        </w:rPr>
        <w:t>编号：</w:t>
      </w:r>
      <w:r>
        <w:rPr>
          <w:rFonts w:hint="eastAsia" w:ascii="宋体" w:hAnsi="宋体"/>
          <w:b/>
          <w:bCs/>
          <w:sz w:val="24"/>
        </w:rPr>
        <w:t>0688-2020-Q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德阳中大电力成套设备制造有限公司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黑体" w:hAnsi="黑体" w:eastAsia="黑体" w:cs="黑体"/>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德阳中大电力成套设备制造有限公司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四川省德阳市旌阳区天元镇九龙江路66号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618019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四川省德阳市旌阳区天元镇九龙江路66号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618019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郭伟</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0838-2233213</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唐瑞雪</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唐瑞雪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韩成蓉</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一般机械加工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17.10.02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黑体" w:hAnsi="黑体" w:eastAsia="黑体" w:cs="黑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纠正和预防措施控制；策划管理；过程监控管理；服务过程管理；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质量部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不合格品控制；监视和测量设备管理；设备设施管理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市场部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b/>
                <w:color w:val="000000" w:themeColor="text1"/>
                <w:sz w:val="20"/>
                <w:szCs w:val="20"/>
                <w:lang w:eastAsia="zh-CN"/>
              </w:rPr>
              <w:t>一般机械加工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lang w:val="en-US" w:eastAsia="zh-CN"/>
              </w:rPr>
            </w:pPr>
            <w:r>
              <w:rPr>
                <w:rFonts w:hint="eastAsia" w:eastAsia="宋体"/>
                <w:b/>
                <w:color w:val="000000" w:themeColor="text1"/>
                <w:sz w:val="20"/>
                <w:szCs w:val="20"/>
                <w:lang w:eastAsia="zh-CN"/>
              </w:rPr>
              <w:t>JB/T 9168.1-1998械加工工艺总则、GB/T 1804-2000</w:t>
            </w:r>
            <w:r>
              <w:rPr>
                <w:rFonts w:hint="eastAsia" w:eastAsia="宋体"/>
                <w:b/>
                <w:color w:val="000000" w:themeColor="text1"/>
                <w:sz w:val="20"/>
                <w:szCs w:val="20"/>
                <w:lang w:val="en-US" w:eastAsia="zh-CN"/>
              </w:rPr>
              <w:t xml:space="preserve"> 一般公差 未注公差的线性和角度尺寸的公差</w:t>
            </w:r>
            <w:r>
              <w:rPr>
                <w:rFonts w:hint="eastAsia" w:eastAsia="宋体"/>
                <w:b/>
                <w:color w:val="000000" w:themeColor="text1"/>
                <w:sz w:val="20"/>
                <w:szCs w:val="20"/>
                <w:lang w:eastAsia="zh-CN"/>
              </w:rPr>
              <w:t>、客户要求（图纸）</w:t>
            </w:r>
            <w:r>
              <w:rPr>
                <w:rFonts w:hint="eastAsia" w:eastAsia="宋体"/>
                <w:b/>
                <w:color w:val="000000" w:themeColor="text1"/>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宋体" w:hAnsi="宋体"/>
                <w:color w:val="000000" w:themeColor="text1"/>
                <w:lang w:eastAsia="zh-CN"/>
              </w:rPr>
              <w:t>，</w:t>
            </w:r>
            <w:r>
              <w:rPr>
                <w:rFonts w:hint="eastAsia" w:ascii="宋体" w:hAnsi="宋体"/>
                <w:szCs w:val="22"/>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lang w:eastAsia="zh-CN"/>
              </w:rPr>
              <w:t>一般机械加工</w:t>
            </w:r>
            <w:r>
              <w:rPr>
                <w:rFonts w:hint="eastAsia" w:ascii="宋体" w:hAnsi="宋体"/>
                <w:sz w:val="21"/>
                <w:szCs w:val="21"/>
                <w:highlight w:val="none"/>
              </w:rPr>
              <w:t>依据成熟工艺,按国家</w:t>
            </w:r>
            <w:r>
              <w:rPr>
                <w:rFonts w:hint="eastAsia" w:ascii="宋体" w:hAnsi="宋体"/>
                <w:sz w:val="21"/>
                <w:szCs w:val="21"/>
                <w:highlight w:val="none"/>
                <w:lang w:eastAsia="zh-CN"/>
              </w:rPr>
              <w:t>相关标准及客户要求及图纸进行</w:t>
            </w:r>
            <w:r>
              <w:rPr>
                <w:rFonts w:hint="eastAsia" w:ascii="宋体" w:hAnsi="宋体"/>
                <w:sz w:val="21"/>
                <w:szCs w:val="21"/>
                <w:highlight w:val="none"/>
              </w:rPr>
              <w:t>生产</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黑体" w:hAnsi="黑体" w:eastAsia="黑体" w:cs="黑体"/>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Times New Roman"/>
                <w:color w:val="000000" w:themeColor="text1"/>
                <w:lang w:val="en-US" w:eastAsia="zh-CN"/>
              </w:rPr>
              <w:t>“</w:t>
            </w:r>
            <w:r>
              <w:rPr>
                <w:rFonts w:hint="eastAsia" w:ascii="宋体" w:hAnsi="宋体" w:cs="Times New Roman"/>
                <w:color w:val="000000" w:themeColor="text1"/>
              </w:rPr>
              <w:t>质量第一、降本增效、精益求精、持续改进</w:t>
            </w:r>
            <w:r>
              <w:rPr>
                <w:rFonts w:hint="eastAsia" w:ascii="宋体" w:hAnsi="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lang w:val="en-US" w:eastAsia="zh-CN"/>
              </w:rPr>
            </w:pPr>
            <w:r>
              <w:rPr>
                <w:rFonts w:hint="eastAsia"/>
                <w:b/>
                <w:color w:val="000000" w:themeColor="text1"/>
                <w:lang w:val="en-US" w:eastAsia="zh-CN"/>
              </w:rPr>
              <w:t>4、</w:t>
            </w:r>
            <w:r>
              <w:rPr>
                <w:rFonts w:hint="eastAsia"/>
                <w:b/>
                <w:color w:val="000000" w:themeColor="text1"/>
              </w:rPr>
              <w:t>风险识别与控制策划（QMS）</w:t>
            </w:r>
            <w:r>
              <w:rPr>
                <w:rFonts w:hint="eastAsia"/>
                <w:b/>
                <w:color w:val="000000" w:themeColor="text1"/>
                <w:lang w:val="en-US" w:eastAsia="zh-CN"/>
              </w:rPr>
              <w:t xml:space="preserve"> </w:t>
            </w:r>
          </w:p>
          <w:p>
            <w:pPr>
              <w:numPr>
                <w:ilvl w:val="0"/>
                <w:numId w:val="0"/>
              </w:numPr>
              <w:spacing w:line="240" w:lineRule="exact"/>
              <w:ind w:leftChars="0"/>
              <w:rPr>
                <w:rFonts w:hint="eastAsia" w:eastAsia="宋体"/>
                <w:b/>
                <w:color w:val="000000" w:themeColor="text1"/>
                <w:lang w:val="en-US" w:eastAsia="zh-CN"/>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szCs w:val="21"/>
                <w:lang w:eastAsia="zh-CN"/>
              </w:rPr>
            </w:pPr>
            <w:r>
              <w:rPr>
                <w:rFonts w:hint="eastAsia" w:ascii="宋体" w:hAnsi="宋体"/>
                <w:b/>
                <w:color w:val="000000" w:themeColor="text1"/>
                <w:sz w:val="20"/>
                <w:szCs w:val="20"/>
              </w:rPr>
              <w:t>质量管理体系过程有：</w:t>
            </w:r>
            <w:r>
              <w:rPr>
                <w:rFonts w:hint="eastAsia" w:ascii="宋体" w:hAnsi="宋体"/>
                <w:szCs w:val="21"/>
              </w:rPr>
              <w:t>一般机械加工</w:t>
            </w:r>
            <w:r>
              <w:rPr>
                <w:rFonts w:hint="eastAsia" w:ascii="宋体" w:hAnsi="宋体"/>
                <w:szCs w:val="21"/>
                <w:lang w:eastAsia="zh-CN"/>
              </w:rPr>
              <w:t>工艺流程：</w:t>
            </w:r>
          </w:p>
          <w:p>
            <w:pPr>
              <w:tabs>
                <w:tab w:val="left" w:pos="540"/>
              </w:tabs>
              <w:spacing w:line="300" w:lineRule="exact"/>
              <w:ind w:left="201" w:hanging="210" w:hangingChars="100"/>
              <w:rPr>
                <w:rFonts w:ascii="宋体" w:hAnsi="宋体"/>
                <w:b/>
                <w:color w:val="000000" w:themeColor="text1"/>
                <w:sz w:val="20"/>
                <w:szCs w:val="20"/>
                <w:u w:val="single"/>
              </w:rPr>
            </w:pPr>
            <w:r>
              <w:rPr>
                <w:rFonts w:hint="eastAsia" w:ascii="宋体" w:hAnsi="宋体"/>
                <w:szCs w:val="21"/>
                <w:lang w:eastAsia="zh-CN"/>
              </w:rPr>
              <w:t>来料接件-----检验----机械加工（车、铣、钻等）-----焊接----检验---入库</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焊接</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val="en-US" w:eastAsia="zh-CN"/>
              </w:rPr>
              <w:t>：</w:t>
            </w:r>
            <w:r>
              <w:rPr>
                <w:rFonts w:hint="eastAsia" w:ascii="宋体" w:hAnsi="宋体"/>
                <w:b/>
                <w:color w:val="000000" w:themeColor="text1"/>
                <w:sz w:val="20"/>
                <w:szCs w:val="20"/>
                <w:u w:val="single"/>
                <w:lang w:eastAsia="zh-CN"/>
              </w:rPr>
              <w:t>焊接</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公司一般机械加工依据成熟工艺,按国家相关标准及客户要求及图纸进行生产。,因此标准8.3条款“产品和服务的设计和开发”要求不适用。8.3条款的不适用不影响提供满足客户对产品质量的要求及符合法律法规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eastAsia="宋体"/>
                <w:b/>
                <w:color w:val="000000" w:themeColor="text1"/>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黑体" w:hAnsi="黑体" w:eastAsia="黑体" w:cs="黑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黑体" w:hAnsi="黑体" w:eastAsia="黑体" w:cs="黑体"/>
                <w:b/>
                <w:color w:val="000000" w:themeColor="text1"/>
                <w:szCs w:val="21"/>
              </w:rPr>
              <w:t>■</w:t>
            </w:r>
            <w:r>
              <w:rPr>
                <w:rFonts w:hint="eastAsia" w:ascii="宋体" w:hAnsi="宋体"/>
                <w:b/>
                <w:color w:val="000000" w:themeColor="text1"/>
                <w:szCs w:val="21"/>
              </w:rPr>
              <w:t>产品/服务□环境因素□危险源，</w:t>
            </w:r>
            <w:r>
              <w:rPr>
                <w:rFonts w:hint="eastAsia" w:ascii="黑体" w:hAnsi="黑体" w:eastAsia="黑体" w:cs="黑体"/>
                <w:b/>
                <w:color w:val="000000" w:themeColor="text1"/>
                <w:szCs w:val="21"/>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6"/>
              <w:spacing w:before="0" w:beforeAutospacing="0" w:after="0" w:afterAutospacing="0" w:line="240" w:lineRule="auto"/>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1、成品一次交验合格率≥95%；</w:t>
            </w:r>
          </w:p>
          <w:p>
            <w:pPr>
              <w:pStyle w:val="6"/>
              <w:spacing w:before="0" w:beforeAutospacing="0" w:after="0" w:afterAutospacing="0" w:line="240" w:lineRule="auto"/>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2、合同履行率100%；</w:t>
            </w:r>
          </w:p>
          <w:p>
            <w:pPr>
              <w:spacing w:line="240" w:lineRule="auto"/>
              <w:ind w:firstLine="420" w:firstLineChars="200"/>
              <w:rPr>
                <w:rFonts w:ascii="宋体" w:hAnsi="宋体"/>
                <w:b/>
                <w:color w:val="000000" w:themeColor="text1"/>
              </w:rPr>
            </w:pPr>
            <w:r>
              <w:rPr>
                <w:rFonts w:hint="eastAsia" w:ascii="宋体" w:hAnsi="宋体" w:eastAsia="宋体" w:cs="宋体"/>
                <w:color w:val="000000"/>
                <w:kern w:val="0"/>
                <w:sz w:val="21"/>
                <w:szCs w:val="21"/>
                <w:lang w:val="en-US" w:eastAsia="zh-CN" w:bidi="ar-SA"/>
              </w:rPr>
              <w:t>3、顾客满意率≥95%。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auto"/>
                <w:sz w:val="21"/>
                <w:szCs w:val="21"/>
                <w:highlight w:val="none"/>
                <w:lang w:val="en-US" w:eastAsia="zh-CN"/>
              </w:rPr>
              <w:t>组织为租赁有</w:t>
            </w:r>
            <w:r>
              <w:rPr>
                <w:rFonts w:hint="eastAsia" w:ascii="宋体" w:hAnsi="宋体"/>
                <w:color w:val="FF0000"/>
                <w:sz w:val="21"/>
                <w:szCs w:val="21"/>
                <w:highlight w:val="none"/>
                <w:lang w:val="en-US" w:eastAsia="zh-CN"/>
              </w:rPr>
              <w:t>面积500平方米的加</w:t>
            </w:r>
            <w:r>
              <w:rPr>
                <w:rFonts w:hint="eastAsia" w:ascii="宋体" w:hAnsi="宋体"/>
                <w:color w:val="auto"/>
                <w:sz w:val="21"/>
                <w:szCs w:val="21"/>
                <w:highlight w:val="none"/>
                <w:lang w:val="en-US" w:eastAsia="zh-CN"/>
              </w:rPr>
              <w:t>工厂房及办公场地.主要生产设备包括：电脑及办公设备、行车、直流弧焊机、车床、卧式铣镗床、数控切割机、摇臂钻床等，可以满足</w:t>
            </w:r>
            <w:r>
              <w:rPr>
                <w:rFonts w:hint="eastAsia" w:ascii="宋体" w:hAnsi="宋体"/>
                <w:color w:val="auto"/>
                <w:szCs w:val="21"/>
                <w:highlight w:val="none"/>
                <w:lang w:eastAsia="zh-CN"/>
              </w:rPr>
              <w:t>一般机械加工</w:t>
            </w:r>
            <w:r>
              <w:rPr>
                <w:rFonts w:hint="eastAsia" w:ascii="宋体" w:hAnsi="宋体"/>
                <w:color w:val="auto"/>
                <w:sz w:val="21"/>
                <w:szCs w:val="21"/>
                <w:highlight w:val="none"/>
                <w:lang w:val="en-US" w:eastAsia="zh-CN"/>
              </w:rPr>
              <w:t>需要。对设备按月方式进行点检维护保养，并实施。特种设备：行车。公司未建立信息管理系统用于生产和服务。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color w:val="auto"/>
                <w:szCs w:val="21"/>
              </w:rPr>
              <w:t>公</w:t>
            </w:r>
            <w:r>
              <w:rPr>
                <w:rFonts w:hint="eastAsia" w:ascii="宋体" w:hAnsi="宋体"/>
                <w:color w:val="auto"/>
                <w:szCs w:val="21"/>
                <w:highlight w:val="none"/>
              </w:rPr>
              <w:t>司的监视和测量设施设备主要是</w:t>
            </w:r>
            <w:r>
              <w:rPr>
                <w:rFonts w:hint="eastAsia" w:ascii="宋体" w:hAnsi="宋体"/>
                <w:color w:val="auto"/>
                <w:szCs w:val="21"/>
                <w:highlight w:val="none"/>
                <w:lang w:val="en-US" w:eastAsia="zh-CN"/>
              </w:rPr>
              <w:t>水准仪、耐震压力表、</w:t>
            </w:r>
            <w:r>
              <w:rPr>
                <w:rFonts w:hint="eastAsia" w:ascii="宋体" w:hAnsi="宋体"/>
                <w:color w:val="auto"/>
                <w:szCs w:val="21"/>
                <w:highlight w:val="none"/>
              </w:rPr>
              <w:t>百分表、外径千分尺、游标卡尺、钢卷尺等，能保证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要求。百分表、外径千分尺、游标卡尺、钢卷尺</w:t>
            </w:r>
            <w:r>
              <w:rPr>
                <w:rFonts w:hint="eastAsia" w:ascii="宋体" w:hAnsi="宋体"/>
                <w:color w:val="auto"/>
                <w:szCs w:val="21"/>
                <w:highlight w:val="none"/>
                <w:lang w:eastAsia="zh-CN"/>
              </w:rPr>
              <w:t>委外校准。</w:t>
            </w:r>
            <w:r>
              <w:rPr>
                <w:rFonts w:hint="eastAsia" w:ascii="宋体" w:hAnsi="宋体"/>
                <w:color w:val="auto"/>
                <w:szCs w:val="21"/>
                <w:highlight w:val="none"/>
              </w:rPr>
              <w:t>查在用检具的校准证书</w:t>
            </w:r>
            <w:bookmarkStart w:id="23" w:name="_GoBack"/>
            <w:r>
              <w:rPr>
                <w:rFonts w:hint="eastAsia" w:ascii="宋体" w:hAnsi="宋体"/>
                <w:color w:val="auto"/>
                <w:szCs w:val="21"/>
                <w:highlight w:val="none"/>
              </w:rPr>
              <w:t>，</w:t>
            </w:r>
            <w:r>
              <w:rPr>
                <w:rFonts w:hint="eastAsia" w:ascii="宋体" w:hAnsi="宋体"/>
                <w:color w:val="auto"/>
                <w:szCs w:val="21"/>
                <w:highlight w:val="none"/>
                <w:lang w:eastAsia="zh-CN"/>
              </w:rPr>
              <w:t>提供有</w:t>
            </w:r>
            <w:r>
              <w:rPr>
                <w:rFonts w:hint="eastAsia" w:ascii="宋体" w:hAnsi="宋体"/>
                <w:color w:val="auto"/>
                <w:szCs w:val="21"/>
                <w:highlight w:val="none"/>
                <w:lang w:val="en-US" w:eastAsia="zh-CN"/>
              </w:rPr>
              <w:t>水准仪、耐震压力表、</w:t>
            </w:r>
            <w:r>
              <w:rPr>
                <w:rFonts w:hint="eastAsia" w:ascii="宋体" w:hAnsi="宋体"/>
                <w:color w:val="auto"/>
                <w:szCs w:val="21"/>
                <w:highlight w:val="none"/>
              </w:rPr>
              <w:t>游标卡尺</w:t>
            </w:r>
            <w:r>
              <w:rPr>
                <w:rFonts w:hint="eastAsia" w:ascii="宋体" w:hAnsi="宋体"/>
                <w:color w:val="auto"/>
                <w:szCs w:val="21"/>
                <w:highlight w:val="none"/>
              </w:rPr>
              <w:t>百分表、外径千分尺、游标卡尺、钢卷尺等</w:t>
            </w:r>
            <w:r>
              <w:rPr>
                <w:rFonts w:hint="eastAsia" w:ascii="宋体" w:hAnsi="宋体"/>
                <w:color w:val="auto"/>
                <w:szCs w:val="21"/>
                <w:highlight w:val="none"/>
                <w:lang w:val="en-US" w:eastAsia="zh-CN"/>
              </w:rPr>
              <w:t>的有效</w:t>
            </w:r>
            <w:r>
              <w:rPr>
                <w:rFonts w:hint="eastAsia" w:ascii="宋体" w:hAnsi="宋体"/>
                <w:color w:val="auto"/>
                <w:szCs w:val="21"/>
                <w:highlight w:val="none"/>
              </w:rPr>
              <w:t>校准证书</w:t>
            </w:r>
            <w:r>
              <w:rPr>
                <w:rFonts w:hint="eastAsia" w:ascii="宋体" w:hAnsi="宋体"/>
                <w:color w:val="auto"/>
                <w:szCs w:val="21"/>
                <w:highlight w:val="none"/>
                <w:lang w:eastAsia="zh-CN"/>
              </w:rPr>
              <w:t>。</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cs="宋体"/>
                <w:color w:val="000000"/>
                <w:szCs w:val="21"/>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default"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eastAsia="zh-CN"/>
              </w:rPr>
              <w:t>特种设备：行车，提供有行车检定报告和特种设备使用证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w:t>
            </w:r>
            <w:r>
              <w:rPr>
                <w:rFonts w:hint="eastAsia" w:ascii="宋体" w:hAnsi="宋体" w:cs="宋体"/>
                <w:color w:val="auto"/>
                <w:szCs w:val="21"/>
              </w:rPr>
              <w:t>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-2020年11月</w:t>
            </w:r>
            <w:r>
              <w:rPr>
                <w:rFonts w:hint="eastAsia" w:ascii="宋体" w:hAnsi="宋体" w:cs="宋体"/>
                <w:color w:val="auto"/>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w:t>
            </w:r>
            <w:r>
              <w:rPr>
                <w:rFonts w:hint="eastAsia" w:ascii="宋体" w:hAnsi="宋体" w:cs="宋体"/>
                <w:color w:val="auto"/>
                <w:szCs w:val="21"/>
              </w:rPr>
              <w:t>时处理，但在顾客反馈信息的利用上不够，需要改善。近年来未发生重大顾客投诉和产品质量事故。顾客满意度调查按规定实施，20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月实施，满意度评价9</w:t>
            </w:r>
            <w:r>
              <w:rPr>
                <w:rFonts w:hint="eastAsia" w:ascii="宋体" w:hAnsi="宋体" w:cs="宋体"/>
                <w:color w:val="auto"/>
                <w:szCs w:val="21"/>
                <w:lang w:val="en-US" w:eastAsia="zh-CN"/>
              </w:rPr>
              <w:t>8分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Times New Roman" w:hAnsi="Times New Roman" w:cs="Times New Roman"/>
                <w:sz w:val="21"/>
                <w:szCs w:val="21"/>
                <w:lang w:val="en-US" w:eastAsia="zh-CN"/>
              </w:rPr>
              <w:t>2020年9月15日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涉及市场部9.1.2条款在2020年度未进行客户满意度调查.针</w:t>
            </w:r>
            <w:r>
              <w:rPr>
                <w:rFonts w:hint="eastAsia" w:ascii="Times New Roman" w:hAnsi="Times New Roman" w:cs="Times New Roman"/>
                <w:sz w:val="21"/>
                <w:szCs w:val="21"/>
                <w:lang w:eastAsia="zh-CN"/>
              </w:rPr>
              <w:t>对该不符合项，</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10</w:t>
            </w:r>
            <w:r>
              <w:rPr>
                <w:rFonts w:hint="eastAsia" w:ascii="Times New Roman" w:hAnsi="Times New Roman" w:cs="Times New Roman"/>
                <w:sz w:val="21"/>
                <w:szCs w:val="21"/>
              </w:rPr>
              <w:t>月</w:t>
            </w:r>
            <w:r>
              <w:rPr>
                <w:rFonts w:hint="eastAsia" w:cs="Times New Roman"/>
                <w:sz w:val="21"/>
                <w:szCs w:val="21"/>
                <w:lang w:val="en-US" w:eastAsia="zh-CN"/>
              </w:rPr>
              <w:t>23</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240" w:lineRule="exact"/>
              <w:ind w:leftChars="-50"/>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ind w:left="0" w:leftChars="0" w:firstLine="0" w:firstLineChars="0"/>
              <w:rPr>
                <w:rFonts w:hint="eastAsia"/>
                <w:b/>
                <w:color w:val="000000" w:themeColor="text1"/>
                <w:szCs w:val="21"/>
                <w:lang w:val="en-US" w:eastAsia="zh-CN"/>
              </w:rPr>
            </w:pPr>
            <w:r>
              <w:rPr>
                <w:rFonts w:hint="eastAsia"/>
                <w:b/>
                <w:color w:val="000000" w:themeColor="text1"/>
                <w:szCs w:val="21"/>
              </w:rPr>
              <w:t>上次不符合的整改情况（再认证填写）</w:t>
            </w:r>
            <w:r>
              <w:rPr>
                <w:rFonts w:hint="eastAsia"/>
                <w:b/>
                <w:color w:val="000000" w:themeColor="text1"/>
                <w:szCs w:val="21"/>
                <w:lang w:val="en-US" w:eastAsia="zh-CN"/>
              </w:rPr>
              <w:t xml:space="preserve">  </w:t>
            </w:r>
          </w:p>
          <w:p>
            <w:pPr>
              <w:numPr>
                <w:ilvl w:val="0"/>
                <w:numId w:val="0"/>
              </w:numPr>
              <w:spacing w:line="240" w:lineRule="exact"/>
              <w:ind w:leftChars="0"/>
              <w:rPr>
                <w:rFonts w:hint="default" w:eastAsia="宋体"/>
                <w:b/>
                <w:color w:val="000000" w:themeColor="text1"/>
                <w:szCs w:val="21"/>
                <w:lang w:val="en-US" w:eastAsia="zh-CN"/>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w:t>
      </w:r>
      <w:r>
        <w:rPr>
          <w:rFonts w:hint="eastAsia"/>
          <w:b/>
          <w:color w:val="000000" w:themeColor="text1"/>
          <w:lang w:val="en-US" w:eastAsia="zh-CN"/>
        </w:rPr>
        <w:t>Q</w:t>
      </w:r>
      <w:r>
        <w:rPr>
          <w:rFonts w:hint="eastAsia"/>
          <w:b/>
          <w:color w:val="000000" w:themeColor="text1"/>
        </w:rPr>
        <w:t>不符合项报告</w:t>
      </w:r>
      <w:r>
        <w:rPr>
          <w:rFonts w:hint="eastAsia"/>
          <w:b/>
          <w:color w:val="000000" w:themeColor="text1"/>
          <w:lang w:val="en-US" w:eastAsia="zh-CN"/>
        </w:rPr>
        <w:t xml:space="preserve">1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0 </w:t>
      </w:r>
      <w:r>
        <w:rPr>
          <w:rFonts w:hint="eastAsia"/>
          <w:b/>
          <w:color w:val="000000" w:themeColor="text1"/>
        </w:rPr>
        <w:t>项，一般不符合</w:t>
      </w:r>
      <w:r>
        <w:rPr>
          <w:rFonts w:hint="eastAsia"/>
          <w:b/>
          <w:color w:val="000000" w:themeColor="text1"/>
          <w:lang w:val="en-US" w:eastAsia="zh-CN"/>
        </w:rPr>
        <w:t xml:space="preserve"> 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市场部</w:t>
      </w:r>
      <w:r>
        <w:rPr>
          <w:rFonts w:hint="eastAsia"/>
          <w:b/>
          <w:color w:val="000000" w:themeColor="text1"/>
        </w:rPr>
        <w:t>部门</w:t>
      </w:r>
      <w:r>
        <w:rPr>
          <w:rFonts w:hint="eastAsia"/>
          <w:b/>
          <w:color w:val="000000" w:themeColor="text1"/>
          <w:lang w:val="en-US" w:eastAsia="zh-CN"/>
        </w:rPr>
        <w:t>8.4.1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黑体" w:hAnsi="黑体" w:eastAsia="黑体" w:cs="黑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黑体" w:hAnsi="黑体" w:eastAsia="黑体" w:cs="黑体"/>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黑体" w:hAnsi="黑体" w:eastAsia="黑体" w:cs="黑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eastAsia="zh-CN"/>
              </w:rPr>
              <w:t>一般机械加工。</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黑体" w:hAnsi="黑体" w:eastAsia="黑体" w:cs="黑体"/>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黑体" w:hAnsi="黑体" w:eastAsia="黑体" w:cs="黑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ascii="黑体" w:hAnsi="黑体" w:eastAsia="黑体" w:cs="黑体"/>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日期: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4E6E3F"/>
    <w:multiLevelType w:val="singleLevel"/>
    <w:tmpl w:val="D04E6E3F"/>
    <w:lvl w:ilvl="0" w:tentative="0">
      <w:start w:val="2"/>
      <w:numFmt w:val="decimal"/>
      <w:suff w:val="nothing"/>
      <w:lvlText w:val="%1、"/>
      <w:lvlJc w:val="left"/>
    </w:lvl>
  </w:abstractNum>
  <w:abstractNum w:abstractNumId="1">
    <w:nsid w:val="D48AC48B"/>
    <w:multiLevelType w:val="singleLevel"/>
    <w:tmpl w:val="D48AC48B"/>
    <w:lvl w:ilvl="0" w:tentative="0">
      <w:start w:val="8"/>
      <w:numFmt w:val="decimal"/>
      <w:suff w:val="space"/>
      <w:lvlText w:val="%1."/>
      <w:lvlJc w:val="left"/>
    </w:lvl>
  </w:abstractNum>
  <w:abstractNum w:abstractNumId="2">
    <w:nsid w:val="20D0BBF8"/>
    <w:multiLevelType w:val="singleLevel"/>
    <w:tmpl w:val="20D0BBF8"/>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D5A995"/>
    <w:multiLevelType w:val="singleLevel"/>
    <w:tmpl w:val="67D5A995"/>
    <w:lvl w:ilvl="0" w:tentative="0">
      <w:start w:val="5"/>
      <w:numFmt w:val="decimal"/>
      <w:suff w:val="space"/>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F4407"/>
    <w:rsid w:val="01497EC5"/>
    <w:rsid w:val="01965871"/>
    <w:rsid w:val="01D45FE4"/>
    <w:rsid w:val="01FF19AC"/>
    <w:rsid w:val="04153957"/>
    <w:rsid w:val="045A20EC"/>
    <w:rsid w:val="05216A4F"/>
    <w:rsid w:val="06E837BB"/>
    <w:rsid w:val="07B90C65"/>
    <w:rsid w:val="08FD703E"/>
    <w:rsid w:val="093F799B"/>
    <w:rsid w:val="09EE577A"/>
    <w:rsid w:val="0A253B44"/>
    <w:rsid w:val="0A36793F"/>
    <w:rsid w:val="0A7F357D"/>
    <w:rsid w:val="0B126C97"/>
    <w:rsid w:val="0B8153DC"/>
    <w:rsid w:val="0C8F0C0C"/>
    <w:rsid w:val="0D8C229F"/>
    <w:rsid w:val="0E2440CA"/>
    <w:rsid w:val="0EF26C7F"/>
    <w:rsid w:val="0FE70AB6"/>
    <w:rsid w:val="11876884"/>
    <w:rsid w:val="11D40D24"/>
    <w:rsid w:val="12E0149E"/>
    <w:rsid w:val="145F33EE"/>
    <w:rsid w:val="14E05308"/>
    <w:rsid w:val="14E62DF4"/>
    <w:rsid w:val="15F3767D"/>
    <w:rsid w:val="15FE73A9"/>
    <w:rsid w:val="16866E7A"/>
    <w:rsid w:val="17AF7FFC"/>
    <w:rsid w:val="180E0505"/>
    <w:rsid w:val="184C6798"/>
    <w:rsid w:val="18C819E2"/>
    <w:rsid w:val="1F87006F"/>
    <w:rsid w:val="230139FF"/>
    <w:rsid w:val="25A621C6"/>
    <w:rsid w:val="26706C43"/>
    <w:rsid w:val="27E60173"/>
    <w:rsid w:val="2889306F"/>
    <w:rsid w:val="2A457016"/>
    <w:rsid w:val="2A57394C"/>
    <w:rsid w:val="2AA5015F"/>
    <w:rsid w:val="2BA466DD"/>
    <w:rsid w:val="2D537762"/>
    <w:rsid w:val="2F67302C"/>
    <w:rsid w:val="2F882A90"/>
    <w:rsid w:val="2FEC22D7"/>
    <w:rsid w:val="300F7D0D"/>
    <w:rsid w:val="31E40B26"/>
    <w:rsid w:val="324D5B51"/>
    <w:rsid w:val="33CE4490"/>
    <w:rsid w:val="35B932A1"/>
    <w:rsid w:val="3617765B"/>
    <w:rsid w:val="374F2C92"/>
    <w:rsid w:val="37573BEB"/>
    <w:rsid w:val="37BF5364"/>
    <w:rsid w:val="37E2399F"/>
    <w:rsid w:val="38FB580D"/>
    <w:rsid w:val="39781DA7"/>
    <w:rsid w:val="3A016B29"/>
    <w:rsid w:val="3A0C420E"/>
    <w:rsid w:val="3C5A1174"/>
    <w:rsid w:val="3D0E4E4B"/>
    <w:rsid w:val="3D4E1DBF"/>
    <w:rsid w:val="3E9358B5"/>
    <w:rsid w:val="3F466E17"/>
    <w:rsid w:val="421E4A28"/>
    <w:rsid w:val="440E5488"/>
    <w:rsid w:val="45264D8A"/>
    <w:rsid w:val="47346DDE"/>
    <w:rsid w:val="49F4581D"/>
    <w:rsid w:val="4B416708"/>
    <w:rsid w:val="4B4621FF"/>
    <w:rsid w:val="4D223312"/>
    <w:rsid w:val="4EAA0D0A"/>
    <w:rsid w:val="4ECE730C"/>
    <w:rsid w:val="4F423A42"/>
    <w:rsid w:val="4FAF3CF6"/>
    <w:rsid w:val="50765A41"/>
    <w:rsid w:val="50CF49A9"/>
    <w:rsid w:val="510E2533"/>
    <w:rsid w:val="51F810F4"/>
    <w:rsid w:val="5282494D"/>
    <w:rsid w:val="54084567"/>
    <w:rsid w:val="5684403B"/>
    <w:rsid w:val="57401746"/>
    <w:rsid w:val="58541DF3"/>
    <w:rsid w:val="59B43B14"/>
    <w:rsid w:val="59BE0DA2"/>
    <w:rsid w:val="5DBC2F5F"/>
    <w:rsid w:val="5F1F74E8"/>
    <w:rsid w:val="61FC7D81"/>
    <w:rsid w:val="62C41E32"/>
    <w:rsid w:val="63CA4A90"/>
    <w:rsid w:val="67D95391"/>
    <w:rsid w:val="681F7C18"/>
    <w:rsid w:val="6A75589F"/>
    <w:rsid w:val="6BF95685"/>
    <w:rsid w:val="6C9D7DCC"/>
    <w:rsid w:val="6D255F2E"/>
    <w:rsid w:val="6D3B3E77"/>
    <w:rsid w:val="6F3202E6"/>
    <w:rsid w:val="70982F09"/>
    <w:rsid w:val="74A360A4"/>
    <w:rsid w:val="75C930B1"/>
    <w:rsid w:val="76667EFA"/>
    <w:rsid w:val="768A3853"/>
    <w:rsid w:val="77AE2AAD"/>
    <w:rsid w:val="783B307D"/>
    <w:rsid w:val="78D57E5C"/>
    <w:rsid w:val="792770F4"/>
    <w:rsid w:val="798D5992"/>
    <w:rsid w:val="7A3236F5"/>
    <w:rsid w:val="7AA55E9C"/>
    <w:rsid w:val="7B1720A5"/>
    <w:rsid w:val="7C9734F3"/>
    <w:rsid w:val="7CE10789"/>
    <w:rsid w:val="7F03426B"/>
    <w:rsid w:val="7F8D1CF2"/>
    <w:rsid w:val="7FD162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2020-12-26T01:15:42Z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