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西安标准精密机械有限公司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西安标准精密机械有限公司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eastAsia="zh-CN"/>
              </w:rPr>
            </w:pPr>
            <w:bookmarkStart w:id="6" w:name="企业人数"/>
            <w:r>
              <w:rPr>
                <w:rFonts w:ascii="宋体" w:hAnsi="宋体"/>
                <w:b/>
                <w:color w:val="000000" w:themeColor="text1"/>
                <w:sz w:val="20"/>
                <w:szCs w:val="20"/>
              </w:rPr>
              <w:t>2</w:t>
            </w:r>
            <w:bookmarkEnd w:id="6"/>
            <w:r>
              <w:rPr>
                <w:rFonts w:hint="eastAsia" w:ascii="宋体" w:hAnsi="宋体"/>
                <w:b/>
                <w:color w:val="000000" w:themeColor="text1"/>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陕西省西安市未央区西围墙工业园3号路14号院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803" w:firstLineChars="400"/>
              <w:rPr>
                <w:rFonts w:ascii="宋体" w:hAnsi="宋体"/>
                <w:b/>
                <w:color w:val="000000" w:themeColor="text1"/>
                <w:sz w:val="20"/>
                <w:szCs w:val="20"/>
              </w:rPr>
            </w:pPr>
            <w:bookmarkStart w:id="9" w:name="办公地址"/>
            <w:r>
              <w:rPr>
                <w:rFonts w:ascii="宋体" w:hAnsi="宋体"/>
                <w:b/>
                <w:color w:val="000000" w:themeColor="text1"/>
                <w:sz w:val="20"/>
                <w:szCs w:val="20"/>
              </w:rPr>
              <w:t>陕西省西安市雁塔区科技六路1号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710065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赵晓春</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18691886819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吕珂玲</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vAlign w:val="center"/>
          </w:tcPr>
          <w:p>
            <w:pPr>
              <w:spacing w:line="320" w:lineRule="exact"/>
              <w:ind w:firstLine="602" w:firstLineChars="300"/>
              <w:jc w:val="both"/>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b/>
                <w:color w:val="000000" w:themeColor="text1"/>
                <w:sz w:val="20"/>
                <w:szCs w:val="20"/>
              </w:rPr>
            </w:pPr>
            <w:r>
              <w:rPr>
                <w:rFonts w:ascii="宋体" w:hAnsi="宋体"/>
                <w:b/>
                <w:color w:val="000000" w:themeColor="text1"/>
                <w:sz w:val="20"/>
                <w:szCs w:val="20"/>
              </w:rPr>
              <w:t>陕西省西安市雁塔区科技六路1号</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bookmarkStart w:id="22" w:name="_GoBack"/>
            <w:bookmarkEnd w:id="22"/>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spacing w:line="240" w:lineRule="auto"/>
              <w:jc w:val="center"/>
              <w:rPr>
                <w:rFonts w:ascii="宋体" w:hAnsi="宋体"/>
                <w:b/>
                <w:bCs w:val="0"/>
                <w:color w:val="000000" w:themeColor="text1"/>
                <w:spacing w:val="-2"/>
                <w:sz w:val="20"/>
                <w:szCs w:val="20"/>
              </w:rPr>
            </w:pPr>
            <w:r>
              <w:rPr>
                <w:rFonts w:hint="eastAsia" w:ascii="宋体" w:hAnsi="宋体"/>
                <w:b/>
                <w:bCs w:val="0"/>
                <w:color w:val="000000" w:themeColor="text1"/>
                <w:sz w:val="20"/>
                <w:szCs w:val="20"/>
              </w:rPr>
              <w:t>部门</w:t>
            </w:r>
            <w:r>
              <w:rPr>
                <w:rFonts w:hint="eastAsia" w:ascii="宋体" w:hAnsi="宋体"/>
                <w:b/>
                <w:bCs w:val="0"/>
                <w:color w:val="000000" w:themeColor="text1"/>
                <w:spacing w:val="-2"/>
                <w:sz w:val="20"/>
                <w:szCs w:val="20"/>
              </w:rPr>
              <w:t>:</w:t>
            </w:r>
          </w:p>
        </w:tc>
        <w:tc>
          <w:tcPr>
            <w:tcW w:w="6804" w:type="dxa"/>
          </w:tcPr>
          <w:p>
            <w:pPr>
              <w:spacing w:line="240" w:lineRule="auto"/>
              <w:jc w:val="center"/>
              <w:rPr>
                <w:rFonts w:ascii="宋体" w:hAnsi="宋体"/>
                <w:b/>
                <w:bCs w:val="0"/>
                <w:color w:val="000000" w:themeColor="text1"/>
                <w:sz w:val="20"/>
                <w:szCs w:val="20"/>
              </w:rPr>
            </w:pPr>
            <w:r>
              <w:rPr>
                <w:rFonts w:hint="eastAsia" w:ascii="宋体" w:hAnsi="宋体"/>
                <w:b/>
                <w:bCs w:val="0"/>
                <w:color w:val="000000" w:themeColor="text1"/>
                <w:sz w:val="20"/>
                <w:szCs w:val="20"/>
              </w:rPr>
              <w:t>职能或过程</w:t>
            </w:r>
            <w:r>
              <w:rPr>
                <w:rFonts w:hint="eastAsia" w:ascii="宋体" w:hAnsi="宋体"/>
                <w:b/>
                <w:bCs w:val="0"/>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b/>
                <w:bCs w:val="0"/>
                <w:color w:val="000000" w:themeColor="text1"/>
                <w:sz w:val="20"/>
                <w:szCs w:val="20"/>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b/>
                <w:bCs w:val="0"/>
                <w:color w:val="000000" w:themeColor="text1"/>
                <w:spacing w:val="-20"/>
                <w:sz w:val="20"/>
                <w:szCs w:val="20"/>
                <w:u w:val="single"/>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b/>
                <w:bCs w:val="0"/>
                <w:color w:val="000000" w:themeColor="text1"/>
                <w:sz w:val="20"/>
                <w:szCs w:val="20"/>
              </w:rPr>
            </w:pPr>
            <w:r>
              <w:rPr>
                <w:rFonts w:hint="eastAsia" w:ascii="宋体" w:hAnsi="宋体"/>
                <w:b/>
                <w:bCs w:val="0"/>
                <w:color w:val="000000"/>
                <w:sz w:val="20"/>
                <w:szCs w:val="20"/>
                <w:lang w:val="en-US" w:eastAsia="zh-CN"/>
              </w:rPr>
              <w:t>综合部</w:t>
            </w:r>
          </w:p>
        </w:tc>
        <w:tc>
          <w:tcPr>
            <w:tcW w:w="6804" w:type="dxa"/>
            <w:vAlign w:val="top"/>
          </w:tcPr>
          <w:p>
            <w:pPr>
              <w:spacing w:line="240" w:lineRule="auto"/>
              <w:jc w:val="left"/>
              <w:rPr>
                <w:rFonts w:ascii="宋体" w:hAnsi="宋体"/>
                <w:b/>
                <w:bCs w:val="0"/>
                <w:color w:val="000000" w:themeColor="text1"/>
                <w:spacing w:val="-20"/>
                <w:sz w:val="20"/>
                <w:szCs w:val="20"/>
                <w:u w:val="single"/>
              </w:rPr>
            </w:pPr>
            <w:r>
              <w:rPr>
                <w:rFonts w:hint="eastAsia" w:ascii="宋体" w:hAnsi="宋体"/>
                <w:b/>
                <w:bCs w:val="0"/>
                <w:color w:val="000000" w:themeColor="text1"/>
                <w:sz w:val="21"/>
                <w:szCs w:val="21"/>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b/>
                <w:bCs w:val="0"/>
                <w:color w:val="000000" w:themeColor="text1"/>
                <w:sz w:val="20"/>
                <w:szCs w:val="20"/>
              </w:rPr>
            </w:pPr>
            <w:r>
              <w:rPr>
                <w:rFonts w:hint="eastAsia" w:ascii="宋体" w:hAnsi="宋体"/>
                <w:b/>
                <w:bCs w:val="0"/>
                <w:color w:val="000000"/>
                <w:sz w:val="20"/>
                <w:szCs w:val="20"/>
                <w:lang w:val="en-US" w:eastAsia="zh-CN"/>
              </w:rPr>
              <w:t>技术部</w:t>
            </w:r>
          </w:p>
        </w:tc>
        <w:tc>
          <w:tcPr>
            <w:tcW w:w="6804" w:type="dxa"/>
            <w:vAlign w:val="top"/>
          </w:tcPr>
          <w:p>
            <w:pPr>
              <w:spacing w:line="240" w:lineRule="auto"/>
              <w:jc w:val="both"/>
              <w:rPr>
                <w:rFonts w:ascii="宋体" w:hAnsi="宋体"/>
                <w:b/>
                <w:bCs w:val="0"/>
                <w:color w:val="000000" w:themeColor="text1"/>
                <w:spacing w:val="-20"/>
                <w:sz w:val="20"/>
                <w:szCs w:val="20"/>
                <w:u w:val="single"/>
              </w:rPr>
            </w:pPr>
            <w:r>
              <w:rPr>
                <w:rFonts w:hint="eastAsia" w:ascii="宋体" w:hAnsi="宋体"/>
                <w:b/>
                <w:bCs w:val="0"/>
                <w:color w:val="000000" w:themeColor="text1"/>
                <w:sz w:val="21"/>
                <w:szCs w:val="21"/>
              </w:rPr>
              <w:t>采购过程相关等过程、销售过程、客户满意等及相应质量管理体系运行过程</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b/>
                <w:bCs w:val="0"/>
                <w:color w:val="000000" w:themeColor="text1"/>
                <w:sz w:val="20"/>
                <w:szCs w:val="20"/>
              </w:rPr>
            </w:pPr>
            <w:r>
              <w:rPr>
                <w:rFonts w:hint="eastAsia" w:ascii="宋体" w:hAnsi="宋体"/>
                <w:b/>
                <w:bCs w:val="0"/>
                <w:color w:val="000000"/>
                <w:sz w:val="20"/>
                <w:szCs w:val="20"/>
                <w:lang w:val="en-US" w:eastAsia="zh-CN"/>
              </w:rPr>
              <w:t>生产部</w:t>
            </w:r>
          </w:p>
        </w:tc>
        <w:tc>
          <w:tcPr>
            <w:tcW w:w="6804" w:type="dxa"/>
            <w:vAlign w:val="top"/>
          </w:tcPr>
          <w:p>
            <w:pPr>
              <w:spacing w:line="240" w:lineRule="auto"/>
              <w:jc w:val="left"/>
              <w:rPr>
                <w:rFonts w:ascii="宋体" w:hAnsi="宋体"/>
                <w:b/>
                <w:bCs w:val="0"/>
                <w:color w:val="000000" w:themeColor="text1"/>
                <w:spacing w:val="-20"/>
                <w:sz w:val="20"/>
                <w:szCs w:val="20"/>
                <w:u w:val="single"/>
              </w:rPr>
            </w:pPr>
            <w:r>
              <w:rPr>
                <w:rFonts w:hint="eastAsia" w:ascii="宋体" w:hAnsi="宋体"/>
                <w:b/>
                <w:bCs w:val="0"/>
                <w:color w:val="000000"/>
                <w:spacing w:val="-20"/>
                <w:sz w:val="21"/>
                <w:szCs w:val="21"/>
              </w:rPr>
              <w:t>基础设施、</w:t>
            </w:r>
            <w:r>
              <w:rPr>
                <w:rFonts w:hint="eastAsia" w:ascii="宋体" w:hAnsi="宋体"/>
                <w:b/>
                <w:bCs w:val="0"/>
                <w:color w:val="000000" w:themeColor="text1"/>
                <w:sz w:val="21"/>
                <w:szCs w:val="21"/>
                <w:lang w:val="en-US" w:eastAsia="zh-CN"/>
              </w:rPr>
              <w:t>生产</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r>
              <w:rPr>
                <w:rFonts w:ascii="宋体" w:hAnsi="宋体"/>
                <w:b/>
                <w:bCs w:val="0"/>
                <w:color w:val="000000" w:themeColor="text1"/>
                <w:sz w:val="21"/>
                <w:szCs w:val="21"/>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60" w:lineRule="auto"/>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1、组织及其环境的识别情况</w:t>
            </w:r>
          </w:p>
          <w:p>
            <w:pPr>
              <w:spacing w:line="360" w:lineRule="auto"/>
              <w:rPr>
                <w:rFonts w:hint="eastAsia"/>
              </w:rPr>
            </w:pPr>
            <w:r>
              <w:rPr>
                <w:rFonts w:hint="eastAsia"/>
              </w:rPr>
              <w:t>西安标准精密机械有限公司，成立于2002年，法人代表吕珂玲，注册地址：陕西省西安市未央区西围墙工业园3号路14号院；经营地址：陕西省西安市雁塔区科技六路1号。</w:t>
            </w:r>
          </w:p>
          <w:p>
            <w:pPr>
              <w:spacing w:line="360" w:lineRule="auto"/>
              <w:rPr>
                <w:rFonts w:hint="eastAsia"/>
              </w:rPr>
            </w:pPr>
            <w:r>
              <w:rPr>
                <w:rFonts w:hint="eastAsia"/>
              </w:rPr>
              <w:t>目前主要从事汽车用铝合金零部件的销售。</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公司以机械加工为主，公司具有完善的管理体系和加工制造能力,是一家长期给汽车行业、军工企业配套的供货单位，并以“加工精度高、质量好、周期短、信守合同”的良好口碑被客户认可信得过产品。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4"/>
              <w:spacing w:line="360" w:lineRule="auto"/>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rPr>
                <w:rFonts w:hint="eastAsia"/>
                <w:b w:val="0"/>
                <w:bCs/>
                <w:color w:val="000000" w:themeColor="text1"/>
                <w:sz w:val="20"/>
                <w:szCs w:val="20"/>
              </w:rPr>
            </w:pPr>
            <w:r>
              <w:rPr>
                <w:rFonts w:hint="eastAsia"/>
                <w:b w:val="0"/>
                <w:bCs/>
                <w:color w:val="000000" w:themeColor="text1"/>
                <w:sz w:val="20"/>
                <w:szCs w:val="20"/>
              </w:rPr>
              <w:t>公司识别并确定了利益相关方：顾客、外部供应商、员工及其他为本公司工作的人员或组织等。</w:t>
            </w:r>
          </w:p>
          <w:p>
            <w:pPr>
              <w:spacing w:line="360" w:lineRule="auto"/>
              <w:rPr>
                <w:b/>
                <w:color w:val="000000" w:themeColor="text1"/>
                <w:sz w:val="20"/>
                <w:szCs w:val="20"/>
              </w:rPr>
            </w:pPr>
            <w:r>
              <w:rPr>
                <w:rFonts w:hint="eastAsia"/>
                <w:b w:val="0"/>
                <w:bCs/>
                <w:color w:val="000000" w:themeColor="text1"/>
                <w:sz w:val="20"/>
                <w:szCs w:val="20"/>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szCs w:val="21"/>
              </w:rPr>
              <w:t>技术创新   规范服务</w:t>
            </w:r>
            <w:r>
              <w:rPr>
                <w:rFonts w:hint="eastAsia" w:ascii="宋体" w:hAnsi="宋体"/>
                <w:szCs w:val="21"/>
                <w:lang w:val="en-US" w:eastAsia="zh-CN"/>
              </w:rPr>
              <w:t xml:space="preserve">  </w:t>
            </w:r>
            <w:r>
              <w:rPr>
                <w:rFonts w:hint="eastAsia" w:ascii="宋体" w:hAnsi="宋体"/>
                <w:szCs w:val="21"/>
              </w:rPr>
              <w:t>持续改进   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360" w:lineRule="auto"/>
              <w:ind w:left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质量管理体系过程有：</w:t>
            </w:r>
            <w:r>
              <w:rPr>
                <w:rFonts w:hint="eastAsia" w:ascii="宋体" w:hAnsi="宋体" w:cs="Times New Roman"/>
                <w:b/>
                <w:color w:val="auto"/>
                <w:sz w:val="20"/>
                <w:szCs w:val="20"/>
                <w:lang w:val="en-US" w:eastAsia="zh-CN"/>
              </w:rPr>
              <w:t xml:space="preserve">机械零部件的加工 </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无</w:t>
            </w:r>
            <w:r>
              <w:rPr>
                <w:rFonts w:hint="eastAsia" w:ascii="宋体" w:hAnsi="宋体"/>
                <w:b/>
                <w:color w:val="auto"/>
                <w:sz w:val="20"/>
                <w:szCs w:val="20"/>
                <w:u w:val="single"/>
                <w:lang w:eastAsia="zh-CN"/>
              </w:rPr>
              <w:t>，</w:t>
            </w:r>
          </w:p>
          <w:p>
            <w:pPr>
              <w:tabs>
                <w:tab w:val="left" w:pos="540"/>
              </w:tabs>
              <w:spacing w:line="360" w:lineRule="auto"/>
              <w:ind w:left="201" w:hanging="201" w:hangingChars="100"/>
              <w:rPr>
                <w:rFonts w:hint="default" w:ascii="宋体" w:hAnsi="宋体"/>
                <w:b/>
                <w:color w:val="auto"/>
                <w:sz w:val="20"/>
                <w:szCs w:val="20"/>
                <w:u w:val="single"/>
                <w:lang w:val="en-US"/>
              </w:rPr>
            </w:pPr>
            <w:r>
              <w:rPr>
                <w:rFonts w:hint="eastAsia" w:ascii="宋体" w:hAnsi="宋体"/>
                <w:b/>
                <w:color w:val="auto"/>
                <w:sz w:val="20"/>
                <w:szCs w:val="20"/>
              </w:rPr>
              <w:t xml:space="preserve">需要确认过程  </w:t>
            </w:r>
            <w:r>
              <w:rPr>
                <w:rFonts w:hint="eastAsia" w:ascii="宋体" w:hAnsi="宋体"/>
                <w:b/>
                <w:color w:val="auto"/>
                <w:sz w:val="20"/>
                <w:szCs w:val="20"/>
                <w:u w:val="single"/>
                <w:lang w:val="en-US" w:eastAsia="zh-CN"/>
              </w:rPr>
              <w:t>无</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 xml:space="preserve">不适用条款是  </w:t>
            </w:r>
            <w:r>
              <w:rPr>
                <w:rFonts w:hint="eastAsia" w:ascii="宋体" w:hAnsi="宋体"/>
                <w:b/>
                <w:color w:val="auto"/>
                <w:sz w:val="20"/>
                <w:szCs w:val="20"/>
                <w:u w:val="single"/>
                <w:lang w:val="en-US" w:eastAsia="zh-CN"/>
              </w:rPr>
              <w:t>无</w:t>
            </w:r>
            <w:r>
              <w:rPr>
                <w:rFonts w:hint="eastAsia" w:ascii="宋体" w:hAnsi="宋体"/>
                <w:b/>
                <w:color w:val="auto"/>
                <w:sz w:val="20"/>
                <w:szCs w:val="20"/>
              </w:rPr>
              <w:t xml:space="preserve"> ，不适用理由：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tabs>
                <w:tab w:val="left" w:pos="0"/>
              </w:tabs>
              <w:spacing w:line="240" w:lineRule="exact"/>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宋体"/>
                <w:szCs w:val="22"/>
              </w:rPr>
            </w:pPr>
            <w:r>
              <w:rPr>
                <w:rFonts w:hint="eastAsia" w:ascii="宋体" w:hAnsi="宋体" w:eastAsia="宋体" w:cs="宋体"/>
                <w:szCs w:val="22"/>
              </w:rPr>
              <w:t>1. 产品一次检验合格率            ≥95％</w:t>
            </w:r>
          </w:p>
          <w:p>
            <w:pPr>
              <w:spacing w:line="360" w:lineRule="auto"/>
              <w:rPr>
                <w:rFonts w:hint="eastAsia" w:ascii="宋体" w:hAnsi="宋体" w:eastAsia="宋体" w:cs="宋体"/>
                <w:szCs w:val="22"/>
              </w:rPr>
            </w:pPr>
            <w:r>
              <w:rPr>
                <w:rFonts w:hint="eastAsia" w:ascii="宋体" w:hAnsi="宋体" w:eastAsia="宋体" w:cs="宋体"/>
                <w:szCs w:val="22"/>
              </w:rPr>
              <w:t>2. 顾客满意度                    ≥90分</w:t>
            </w:r>
          </w:p>
          <w:p>
            <w:pPr>
              <w:spacing w:line="360" w:lineRule="auto"/>
              <w:rPr>
                <w:rFonts w:ascii="宋体" w:hAnsi="宋体"/>
                <w:b/>
                <w:color w:val="000000" w:themeColor="text1"/>
              </w:rPr>
            </w:pPr>
            <w:r>
              <w:rPr>
                <w:rFonts w:hint="eastAsia" w:ascii="宋体" w:hAnsi="宋体" w:eastAsia="宋体" w:cs="宋体"/>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3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lang w:val="en-US" w:eastAsia="zh-CN"/>
              </w:rPr>
              <w:t xml:space="preserve"> </w:t>
            </w:r>
            <w:r>
              <w:rPr>
                <w:rFonts w:hint="eastAsia" w:ascii="宋体" w:hAnsi="宋体"/>
                <w:b/>
                <w:color w:val="000000" w:themeColor="text1"/>
                <w:sz w:val="20"/>
                <w:szCs w:val="20"/>
              </w:rPr>
              <w:t>:</w:t>
            </w:r>
          </w:p>
          <w:p>
            <w:pPr>
              <w:spacing w:line="360" w:lineRule="auto"/>
              <w:ind w:firstLine="400" w:firstLineChars="200"/>
              <w:rPr>
                <w:rFonts w:hint="eastAsia" w:ascii="宋体" w:hAnsi="宋体"/>
                <w:b w:val="0"/>
                <w:bCs/>
                <w:color w:val="000000" w:themeColor="text1"/>
                <w:sz w:val="20"/>
                <w:szCs w:val="20"/>
              </w:rPr>
            </w:pPr>
            <w:r>
              <w:rPr>
                <w:rFonts w:hint="eastAsia" w:ascii="宋体" w:hAnsi="宋体"/>
                <w:b w:val="0"/>
                <w:bCs/>
                <w:color w:val="000000" w:themeColor="text1"/>
                <w:sz w:val="20"/>
                <w:szCs w:val="20"/>
              </w:rPr>
              <w:t>组织按管理体系需求配置了充足的人员、设施、监视和测量设备等资源，并建立维持了产品的生产及相关服务运行环境，可以维持管理体系的正常运行。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szCs w:val="21"/>
              </w:rPr>
            </w:pPr>
            <w:r>
              <w:rPr>
                <w:rFonts w:hint="eastAsia" w:ascii="宋体" w:hAnsi="宋体" w:eastAsia="宋体" w:cs="宋体"/>
                <w:sz w:val="21"/>
                <w:szCs w:val="21"/>
                <w:lang w:val="en-US" w:eastAsia="zh-CN"/>
              </w:rPr>
              <w:t>设备设施：加工中心、数控车床、磨床、钻床等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办公设备：电脑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办公室等，经过管理体系运行证明，现有资源可满足体系和</w:t>
            </w:r>
            <w:r>
              <w:rPr>
                <w:rFonts w:hint="eastAsia" w:ascii="宋体" w:hAnsi="宋体" w:cs="宋体"/>
                <w:sz w:val="21"/>
                <w:szCs w:val="21"/>
                <w:lang w:val="en-US" w:eastAsia="zh-CN"/>
              </w:rPr>
              <w:t>生产</w:t>
            </w:r>
            <w:r>
              <w:rPr>
                <w:rFonts w:hint="eastAsia" w:ascii="宋体" w:hAnsi="宋体" w:eastAsia="宋体" w:cs="宋体"/>
                <w:sz w:val="21"/>
                <w:szCs w:val="21"/>
              </w:rPr>
              <w:t>的要求</w:t>
            </w:r>
            <w:r>
              <w:rPr>
                <w:rFonts w:hint="eastAsia" w:ascii="宋体" w:hAnsi="宋体"/>
                <w:szCs w:val="21"/>
                <w:lang w:eastAsia="zh-CN"/>
              </w:rPr>
              <w:t>，</w:t>
            </w:r>
            <w:r>
              <w:rPr>
                <w:rFonts w:hint="eastAsia" w:ascii="宋体" w:hAnsi="宋体"/>
                <w:szCs w:val="21"/>
              </w:rPr>
              <w:t>对设备按月方式进行点检维护保养，并实施。</w:t>
            </w:r>
          </w:p>
          <w:p>
            <w:pPr>
              <w:spacing w:line="360" w:lineRule="auto"/>
              <w:rPr>
                <w:rFonts w:ascii="宋体" w:hAnsi="宋体"/>
                <w:b/>
                <w:color w:val="000000" w:themeColor="text1"/>
                <w:sz w:val="20"/>
                <w:szCs w:val="20"/>
              </w:rPr>
            </w:pPr>
            <w:r>
              <w:rPr>
                <w:rFonts w:hint="eastAsia" w:ascii="宋体" w:hAnsi="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车间内设备布置合理，通道部分不畅通，照明设施齐全，均配备了电风扇、消防设施等设施，作业场所光线较充足。生产区域对环境要求不高，目前工作环境符合生产需要。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360" w:lineRule="auto"/>
              <w:rPr>
                <w:rFonts w:hint="eastAsia" w:ascii="宋体" w:hAnsi="宋体"/>
                <w:b/>
                <w:color w:val="000000" w:themeColor="text1"/>
                <w:sz w:val="20"/>
                <w:szCs w:val="20"/>
              </w:rPr>
            </w:pPr>
            <w:r>
              <w:rPr>
                <w:rFonts w:hint="eastAsia"/>
                <w:szCs w:val="22"/>
              </w:rPr>
              <w:t>生产车间均按策划的要求配置了相应的检测设备，均采用委外送检的方式。主要检测设备有游标卡尺、千分尺、内径百分表、高度尺、深度尺</w:t>
            </w:r>
            <w:r>
              <w:rPr>
                <w:rFonts w:hint="eastAsia" w:ascii="宋体" w:hAnsi="宋体"/>
                <w:szCs w:val="21"/>
              </w:rPr>
              <w:t>等</w:t>
            </w:r>
            <w:r>
              <w:rPr>
                <w:rFonts w:hint="eastAsia"/>
                <w:szCs w:val="22"/>
              </w:rPr>
              <w:t>。</w:t>
            </w:r>
            <w:r>
              <w:rPr>
                <w:rFonts w:hint="eastAsia" w:ascii="宋体" w:hAnsi="宋体"/>
                <w:szCs w:val="21"/>
              </w:rPr>
              <w:t>均能提供在用量具的有效检定或校准证。</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szCs w:val="21"/>
              </w:rPr>
              <w:t>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企业产品单一，客户固定，无关键工序和特殊过程，能力满足要求。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企业参考国家行业主要有：陕西法士特汽车传动集团有限责任公司标准S27006-2017《金属型铝合金铸件》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S60003-2015《总成及零件标识与追溯规范》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S68008-2016《采购零部件包装通用技术条件》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S27008-2018《铝合金压铸件孔穴等级规范》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S61035-2016《AT变速器零部件清洁规范》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S61019-2017《变速器零部件清洁度规范》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图纸和客户要求。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提供了产品检验记录，产品检验合格，满足顾客要求。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r>
              <w:rPr>
                <w:rFonts w:hint="eastAsia"/>
                <w:b/>
                <w:color w:val="000000" w:themeColor="text1"/>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过2019年6-12月目标的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92.5</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每年一次，本次2020.</w:t>
            </w:r>
            <w:r>
              <w:rPr>
                <w:rFonts w:hint="eastAsia" w:ascii="宋体" w:hAnsi="宋体" w:cs="宋体"/>
                <w:szCs w:val="22"/>
                <w:lang w:val="en-US" w:eastAsia="zh-CN"/>
              </w:rPr>
              <w:t>11</w:t>
            </w:r>
            <w:r>
              <w:rPr>
                <w:rFonts w:hint="eastAsia" w:ascii="宋体" w:hAnsi="宋体" w:cs="宋体"/>
                <w:szCs w:val="22"/>
              </w:rPr>
              <w:t>.</w:t>
            </w:r>
            <w:r>
              <w:rPr>
                <w:rFonts w:hint="eastAsia" w:ascii="宋体" w:hAnsi="宋体" w:cs="宋体"/>
                <w:szCs w:val="22"/>
                <w:lang w:val="en-US" w:eastAsia="zh-CN"/>
              </w:rPr>
              <w:t>15</w:t>
            </w:r>
            <w:r>
              <w:rPr>
                <w:rFonts w:hint="eastAsia" w:ascii="宋体" w:hAnsi="宋体" w:cs="宋体"/>
                <w:szCs w:val="22"/>
              </w:rPr>
              <w:t>-</w:t>
            </w:r>
            <w:r>
              <w:rPr>
                <w:rFonts w:hint="eastAsia" w:ascii="宋体" w:hAnsi="宋体" w:cs="宋体"/>
                <w:szCs w:val="22"/>
                <w:lang w:val="en-US" w:eastAsia="zh-CN"/>
              </w:rPr>
              <w:t>11</w:t>
            </w:r>
            <w:r>
              <w:rPr>
                <w:rFonts w:hint="eastAsia" w:ascii="宋体" w:hAnsi="宋体" w:cs="宋体"/>
                <w:szCs w:val="22"/>
              </w:rPr>
              <w:t>.</w:t>
            </w:r>
            <w:r>
              <w:rPr>
                <w:rFonts w:hint="eastAsia" w:ascii="宋体" w:hAnsi="宋体" w:cs="宋体"/>
                <w:szCs w:val="22"/>
                <w:lang w:val="en-US" w:eastAsia="zh-CN"/>
              </w:rPr>
              <w:t>16</w:t>
            </w:r>
            <w:r>
              <w:rPr>
                <w:rFonts w:hint="eastAsia" w:ascii="宋体" w:hAnsi="宋体" w:cs="宋体"/>
                <w:szCs w:val="22"/>
              </w:rPr>
              <w:t>日内审。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每年一次，2020.</w:t>
            </w:r>
            <w:r>
              <w:rPr>
                <w:rFonts w:hint="eastAsia" w:ascii="宋体" w:hAnsi="宋体" w:cs="宋体"/>
                <w:szCs w:val="22"/>
                <w:lang w:val="en-US" w:eastAsia="zh-CN"/>
              </w:rPr>
              <w:t>11</w:t>
            </w:r>
            <w:r>
              <w:rPr>
                <w:rFonts w:hint="eastAsia" w:ascii="宋体" w:hAnsi="宋体" w:cs="宋体"/>
                <w:szCs w:val="22"/>
              </w:rPr>
              <w:t>.</w:t>
            </w:r>
            <w:r>
              <w:rPr>
                <w:rFonts w:hint="eastAsia" w:ascii="宋体" w:hAnsi="宋体" w:cs="宋体"/>
                <w:szCs w:val="22"/>
                <w:lang w:val="en-US" w:eastAsia="zh-CN"/>
              </w:rPr>
              <w:t>30</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ascii="Times New Roman" w:hAnsi="Times New Roman" w:eastAsia="宋体" w:cs="Times New Roman"/>
                <w:bCs/>
                <w:color w:val="000000" w:themeColor="text1"/>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360" w:lineRule="auto"/>
              <w:ind w:leftChars="-50" w:firstLine="402" w:firstLineChars="2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lang w:val="en-US" w:eastAsia="zh-CN"/>
              </w:rPr>
              <w:t>4.</w:t>
            </w:r>
            <w:r>
              <w:rPr>
                <w:rFonts w:hint="eastAsia"/>
                <w:b/>
                <w:color w:val="000000" w:themeColor="text1"/>
                <w:szCs w:val="21"/>
              </w:rPr>
              <w:t xml:space="preserve">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lang w:eastAsia="zh-CN"/>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机械加工</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59264" behindDoc="0" locked="0" layoutInCell="1" allowOverlap="1">
            <wp:simplePos x="0" y="0"/>
            <wp:positionH relativeFrom="column">
              <wp:posOffset>1885950</wp:posOffset>
            </wp:positionH>
            <wp:positionV relativeFrom="paragraph">
              <wp:posOffset>341630</wp:posOffset>
            </wp:positionV>
            <wp:extent cx="397510" cy="314325"/>
            <wp:effectExtent l="0" t="0" r="889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97510" cy="31432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eastAsia="宋体"/>
          <w:szCs w:val="21"/>
          <w:lang w:eastAsia="zh-CN"/>
        </w:rPr>
        <w:drawing>
          <wp:anchor distT="0" distB="0" distL="114300" distR="114300" simplePos="0" relativeHeight="256510976" behindDoc="0" locked="0" layoutInCell="1" allowOverlap="1">
            <wp:simplePos x="0" y="0"/>
            <wp:positionH relativeFrom="column">
              <wp:posOffset>2834005</wp:posOffset>
            </wp:positionH>
            <wp:positionV relativeFrom="paragraph">
              <wp:posOffset>182245</wp:posOffset>
            </wp:positionV>
            <wp:extent cx="414020" cy="344170"/>
            <wp:effectExtent l="0" t="0" r="0" b="1143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7"/>
                    <a:stretch>
                      <a:fillRect/>
                    </a:stretch>
                  </pic:blipFill>
                  <pic:spPr>
                    <a:xfrm>
                      <a:off x="0" y="0"/>
                      <a:ext cx="414020" cy="344170"/>
                    </a:xfrm>
                    <a:prstGeom prst="rect">
                      <a:avLst/>
                    </a:prstGeom>
                  </pic:spPr>
                </pic:pic>
              </a:graphicData>
            </a:graphic>
          </wp:anchor>
        </w:drawing>
      </w:r>
      <w:r>
        <w:rPr>
          <w:rFonts w:hint="default"/>
          <w:vertAlign w:val="baseline"/>
          <w:lang w:eastAsia="zh-CN"/>
        </w:rPr>
        <w:drawing>
          <wp:anchor distT="0" distB="0" distL="114300" distR="114300" simplePos="0" relativeHeight="251660288" behindDoc="0" locked="0" layoutInCell="1" allowOverlap="1">
            <wp:simplePos x="0" y="0"/>
            <wp:positionH relativeFrom="column">
              <wp:posOffset>1747520</wp:posOffset>
            </wp:positionH>
            <wp:positionV relativeFrom="paragraph">
              <wp:posOffset>160020</wp:posOffset>
            </wp:positionV>
            <wp:extent cx="769620" cy="327660"/>
            <wp:effectExtent l="0" t="0" r="5080" b="2540"/>
            <wp:wrapNone/>
            <wp:docPr id="85" name="图片 85" descr="8ceb1224d5910469c36d6d148770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8ceb1224d5910469c36d6d1487705f1"/>
                    <pic:cNvPicPr>
                      <a:picLocks noChangeAspect="1"/>
                    </pic:cNvPicPr>
                  </pic:nvPicPr>
                  <pic:blipFill>
                    <a:blip r:embed="rId8"/>
                    <a:stretch>
                      <a:fillRect/>
                    </a:stretch>
                  </pic:blipFill>
                  <pic:spPr>
                    <a:xfrm>
                      <a:off x="0" y="0"/>
                      <a:ext cx="769620" cy="32766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6513024" behindDoc="0" locked="0" layoutInCell="1" allowOverlap="1">
            <wp:simplePos x="0" y="0"/>
            <wp:positionH relativeFrom="column">
              <wp:posOffset>717550</wp:posOffset>
            </wp:positionH>
            <wp:positionV relativeFrom="paragraph">
              <wp:posOffset>120015</wp:posOffset>
            </wp:positionV>
            <wp:extent cx="397510" cy="314325"/>
            <wp:effectExtent l="0" t="0" r="8890"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97510" cy="31432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 xml:space="preserve">2020 </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26</w:t>
      </w:r>
      <w:r>
        <w:rPr>
          <w:rFonts w:hint="eastAsia"/>
          <w:b/>
          <w:color w:val="000000" w:themeColor="text1"/>
          <w:szCs w:val="21"/>
        </w:rPr>
        <w:t>日</w:t>
      </w:r>
    </w:p>
    <w:p>
      <w:pPr>
        <w:spacing w:line="60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60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60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60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lang w:eastAsia="zh-CN"/>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600" w:lineRule="auto"/>
        <w:ind w:left="0" w:leftChars="-405" w:hanging="850" w:hangingChars="403"/>
        <w:rPr>
          <w:rFonts w:hint="eastAsia"/>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60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360" w:lineRule="auto"/>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360" w:lineRule="auto"/>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360" w:lineRule="auto"/>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360" w:lineRule="auto"/>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spacing w:line="360" w:lineRule="auto"/>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spacing w:line="360" w:lineRule="auto"/>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spacing w:line="360" w:lineRule="auto"/>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F52A57"/>
    <w:rsid w:val="105B72B8"/>
    <w:rsid w:val="372C1678"/>
    <w:rsid w:val="40C82040"/>
    <w:rsid w:val="59DD3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2020-12-23T08:33:22Z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