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09762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王娟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张恩庆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F76B6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E229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76B69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E0FE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76B6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D327FF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B83AE5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D327FF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463E13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817A5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8D08A4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817A5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8D08A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7A5C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166D96" w:rsidRPr="007C1B9B" w:rsidRDefault="00166D96" w:rsidP="009E229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166D96" w:rsidRPr="007C1B9B" w:rsidRDefault="00166D96" w:rsidP="009E2299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E16A9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设备，对销售服务过程进行监视和测量所用表格，确保表格样式受控不得随意更改，形成的检查记录作为证据也不</w:t>
            </w:r>
            <w:r w:rsidR="00E16A98">
              <w:rPr>
                <w:rFonts w:ascii="楷体" w:eastAsia="楷体" w:hAnsi="楷体" w:hint="eastAsia"/>
                <w:sz w:val="24"/>
                <w:szCs w:val="24"/>
              </w:rPr>
              <w:t>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7620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097620" w:rsidRPr="007C1B9B" w:rsidRDefault="00097620" w:rsidP="00097620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97620" w:rsidRPr="007C1B9B" w:rsidRDefault="00097620" w:rsidP="00097620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097620" w:rsidRPr="00C96BD9" w:rsidRDefault="00097620" w:rsidP="000976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</w:t>
            </w:r>
            <w:r w:rsidRPr="00C96BD9">
              <w:rPr>
                <w:rFonts w:ascii="楷体" w:eastAsia="楷体" w:hAnsi="楷体" w:hint="eastAsia"/>
                <w:sz w:val="24"/>
                <w:szCs w:val="24"/>
              </w:rPr>
              <w:t>验记录表》：</w:t>
            </w:r>
          </w:p>
          <w:p w:rsidR="00097620" w:rsidRPr="00C96BD9" w:rsidRDefault="00097620" w:rsidP="00097620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590BE0" w:rsidRPr="00C96BD9" w:rsidTr="00215A4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数码相机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590BE0" w:rsidRPr="00C96BD9" w:rsidRDefault="00590BE0" w:rsidP="00590BE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215A4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590BE0" w:rsidRPr="00C96BD9" w:rsidRDefault="00590BE0" w:rsidP="00590BE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215A4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 xml:space="preserve">笔记本电脑 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590BE0" w:rsidRPr="00C96BD9" w:rsidRDefault="00590BE0" w:rsidP="00590BE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09762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09762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09762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590BE0" w:rsidRPr="00C96BD9" w:rsidRDefault="00590BE0" w:rsidP="00590BE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215A4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取样仪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90BE0" w:rsidRPr="00C96BD9" w:rsidRDefault="00590BE0" w:rsidP="00590BE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215A4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增白剂检测仪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590BE0" w:rsidRPr="00C96BD9" w:rsidRDefault="00590BE0" w:rsidP="00590BE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590BE0" w:rsidRPr="00C96BD9" w:rsidTr="00215A4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590BE0" w:rsidRPr="00C96BD9" w:rsidRDefault="00590BE0" w:rsidP="00590BE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水浴锅</w:t>
                  </w:r>
                </w:p>
              </w:tc>
              <w:tc>
                <w:tcPr>
                  <w:tcW w:w="567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590BE0" w:rsidRPr="00C96BD9" w:rsidRDefault="00590BE0" w:rsidP="00590BE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590BE0" w:rsidRPr="00C96BD9" w:rsidRDefault="00590BE0" w:rsidP="00590BE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35790" w:rsidRPr="00C96BD9" w:rsidTr="0009762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灭菌锅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组织匀浆机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瓶口加热器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药品</w:t>
                  </w: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残留检测仪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磁力搅拌器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电子天平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离心机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3A091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735790" w:rsidRPr="00C96BD9" w:rsidRDefault="00735790" w:rsidP="0073579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3A091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3A091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35790" w:rsidRPr="00C96BD9" w:rsidTr="000910AF">
              <w:trPr>
                <w:cantSplit/>
                <w:trHeight w:val="437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10AF">
              <w:trPr>
                <w:cantSplit/>
                <w:trHeight w:val="443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瓶口加热器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10AF">
              <w:trPr>
                <w:cantSplit/>
                <w:trHeight w:val="477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D3303E">
              <w:trPr>
                <w:cantSplit/>
                <w:trHeight w:val="441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D3303E">
              <w:trPr>
                <w:cantSplit/>
                <w:trHeight w:val="475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D3303E">
              <w:trPr>
                <w:cantSplit/>
                <w:trHeight w:val="453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几何形变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D3303E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D3303E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滑动变阻器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10AF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10AF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10AF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显微镜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35790" w:rsidRPr="00C96BD9" w:rsidTr="00F575C3">
              <w:trPr>
                <w:cantSplit/>
                <w:trHeight w:val="437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定氮仪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43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电热套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77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杀虫灯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41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药品</w:t>
                  </w: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残留检测仪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75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病虫预警机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53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孢子扑捉机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旋转蒸发仪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研磨机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上海世远生物设备工程有限公司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静态电阻应变仪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电测位移仪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F575C3">
              <w:trPr>
                <w:cantSplit/>
                <w:trHeight w:val="446"/>
              </w:trPr>
              <w:tc>
                <w:tcPr>
                  <w:tcW w:w="491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曲率仪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35790" w:rsidRPr="00C96BD9" w:rsidTr="0009762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波形发生器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耐电压测试仪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电流计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动物尸体降解机组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A40D2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防疫注射器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超声波探伤仪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传真机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液相色谱仪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气相色谱仪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8024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8024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8024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735790" w:rsidRPr="00C96BD9" w:rsidRDefault="00735790" w:rsidP="0073579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097620" w:rsidP="0073579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35790"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35790" w:rsidRPr="00C96BD9" w:rsidTr="00264B8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激光打印机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传真机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江苏大众电器有限公司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抗压传感器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百分表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游标卡尺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千分尺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桩基动测仪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超声波探伤仪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北京雅欣理仪科技有限公司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914B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914B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914B7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几何形变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粒度仪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西安威桐潞实验设备有限公司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735790" w:rsidRPr="00C96BD9" w:rsidTr="00264B8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735790" w:rsidRPr="00C96BD9" w:rsidRDefault="00735790" w:rsidP="0073579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测温仪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735790" w:rsidRPr="00C96BD9" w:rsidRDefault="00735790" w:rsidP="0073579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西安威桐潞实验设备有限公司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35790" w:rsidRPr="00C96BD9" w:rsidRDefault="00735790" w:rsidP="0073579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96BD9" w:rsidRPr="00C96BD9" w:rsidTr="005B549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图像分析仪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5B549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三维扫描仪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5B549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 xml:space="preserve">粉碎机 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河北省虹宇仪器设备有限公司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664A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664A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664A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664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664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664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664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水份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664A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呼吸性粉尘快速测定仪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5B549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 xml:space="preserve">光谱仪 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徐州矿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电子技术研究所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5B549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PH计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徐州矿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电子技术研究所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5B549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徐州矿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电子技术研究所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97620" w:rsidRPr="00C96BD9" w:rsidTr="0009762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97620" w:rsidRPr="00C96BD9" w:rsidRDefault="00590BE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97620" w:rsidRPr="00C96BD9" w:rsidTr="0009762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97620" w:rsidRPr="00C96BD9" w:rsidRDefault="00097620" w:rsidP="00097620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96BD9" w:rsidRPr="00C96BD9" w:rsidTr="0009762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信号发生器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徐州矿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电子技术研究所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09762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漩涡混合器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徐州矿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电子技术研究所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C96BD9" w:rsidRPr="00C96BD9" w:rsidRDefault="00C96BD9" w:rsidP="00C96BD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C96BD9" w:rsidRPr="00C96BD9" w:rsidRDefault="00C96BD9" w:rsidP="00C96BD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09762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能量转换实验装置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流线演示实验装置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09762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化工流体流动综合实验装置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  <w:tr w:rsidR="00C96BD9" w:rsidRPr="00C96BD9" w:rsidTr="002C1B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C96BD9" w:rsidRPr="00C96BD9" w:rsidRDefault="00C96BD9" w:rsidP="00C96BD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C96BD9" w:rsidRPr="00C96BD9" w:rsidRDefault="00C96BD9" w:rsidP="00C96BD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C96BD9" w:rsidRPr="00C96BD9" w:rsidRDefault="00C96BD9" w:rsidP="00C96BD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96BD9" w:rsidRPr="00C96BD9" w:rsidRDefault="00C96BD9" w:rsidP="00C96BD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96BD9">
                    <w:rPr>
                      <w:rFonts w:ascii="楷体" w:eastAsia="楷体" w:hAnsi="楷体" w:hint="eastAsia"/>
                      <w:sz w:val="18"/>
                      <w:szCs w:val="18"/>
                    </w:rPr>
                    <w:t>张明煜</w:t>
                  </w:r>
                </w:p>
              </w:tc>
            </w:tr>
          </w:tbl>
          <w:p w:rsidR="00097620" w:rsidRPr="00C96BD9" w:rsidRDefault="00097620" w:rsidP="00097620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97620" w:rsidRPr="007C1B9B" w:rsidRDefault="00097620" w:rsidP="00097620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F202C" w:rsidRPr="00BF202C">
              <w:rPr>
                <w:rFonts w:ascii="楷体" w:eastAsia="楷体" w:hAnsi="楷体" w:hint="eastAsia"/>
                <w:sz w:val="24"/>
                <w:szCs w:val="24"/>
              </w:rPr>
              <w:t>张明煜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张恩庆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590BE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BF202C" w:rsidRPr="00BF202C">
              <w:rPr>
                <w:rFonts w:ascii="楷体" w:eastAsia="楷体" w:hAnsi="楷体" w:hint="eastAsia"/>
                <w:sz w:val="24"/>
                <w:szCs w:val="24"/>
              </w:rPr>
              <w:t>张燕生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，综合评价：97分，检查人：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张恩庆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590BE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Pr="00A55DA1">
              <w:rPr>
                <w:rFonts w:ascii="楷体" w:eastAsia="楷体" w:hAnsi="楷体" w:hint="eastAsia"/>
                <w:sz w:val="24"/>
                <w:szCs w:val="24"/>
              </w:rPr>
              <w:t>王娟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BF202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张恩庆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097620" w:rsidRPr="007C1B9B" w:rsidRDefault="00097620" w:rsidP="000976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（5）售后服务客户考核，办公室定期对供销部业务员的售后服务业绩进行考核。业务员填写</w:t>
            </w:r>
            <w:r w:rsidRPr="007C1B9B">
              <w:rPr>
                <w:rFonts w:ascii="楷体" w:eastAsia="楷体" w:hAnsi="楷体" w:cs="Arial" w:hint="eastAsia"/>
                <w:szCs w:val="24"/>
              </w:rPr>
              <w:t>售后</w:t>
            </w:r>
            <w:r w:rsidRPr="007C1B9B">
              <w:rPr>
                <w:rFonts w:ascii="楷体" w:eastAsia="楷体" w:hAnsi="楷体" w:hint="eastAsia"/>
                <w:szCs w:val="24"/>
              </w:rPr>
              <w:t>服务记录，办公室采用电话回访的方式进行考评。</w:t>
            </w:r>
          </w:p>
          <w:p w:rsidR="00097620" w:rsidRPr="007C1B9B" w:rsidRDefault="00097620" w:rsidP="00097620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（6）现场查到了供方提供的产品检验报告和合格证，随货发送给客户。</w:t>
            </w:r>
          </w:p>
          <w:p w:rsidR="00097620" w:rsidRPr="007C1B9B" w:rsidRDefault="00097620" w:rsidP="00097620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097620" w:rsidRPr="007C1B9B" w:rsidRDefault="0009762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7620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097620" w:rsidRPr="007C1B9B" w:rsidRDefault="00097620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097620" w:rsidRPr="007C1B9B" w:rsidRDefault="00097620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97620" w:rsidRPr="007C1B9B" w:rsidRDefault="00097620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97620" w:rsidRPr="007C1B9B" w:rsidRDefault="00097620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CZYH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097620" w:rsidRPr="007C1B9B" w:rsidRDefault="00097620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</w:t>
            </w:r>
            <w:r w:rsidR="00590B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580D7C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580D7C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580D7C" w:rsidRPr="00455475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1个食品药品检测设备包装破损，有碰伤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</w:t>
            </w:r>
            <w:r w:rsidR="00590B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455475">
              <w:rPr>
                <w:rFonts w:ascii="楷体" w:eastAsia="楷体" w:hAnsi="楷体" w:cs="楷体" w:hint="eastAsia"/>
                <w:bCs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455475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580D7C" w:rsidRPr="0045547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张明煜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097620" w:rsidRPr="007C1B9B" w:rsidRDefault="00097620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097620" w:rsidRPr="007C1B9B" w:rsidRDefault="0009762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7620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97620" w:rsidRPr="007C1B9B" w:rsidRDefault="00097620" w:rsidP="0009762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JCJX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.CX18-2018》、《危险源辩识风险评价控制程序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JCJX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.CX21-2018》。</w:t>
            </w:r>
          </w:p>
          <w:p w:rsidR="00097620" w:rsidRPr="007C1B9B" w:rsidRDefault="00097620" w:rsidP="0009762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质检部按照办公区域及服务过程对环境因素、危险源进行了辨识，辨识时考虑了三种时态，过去、现在和将来，三种状态，正常、异常和紧急。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查到“环境因素识别评价汇总表”，识别了本部门在办公、检验等各有关过程的环境因素，包括</w:t>
            </w:r>
            <w:r w:rsidR="00455475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电脑使用用电消耗、办公纸张消耗、不合格品排放等环境因素</w:t>
            </w:r>
            <w:r w:rsidR="00455475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查到“危险源识别及风险评价表”，识别了办公过程的电脑辐射、办公电器漏电、检验活动过程中的玻璃仪器划伤、火灾</w:t>
            </w:r>
            <w:r w:rsidR="00455475">
              <w:rPr>
                <w:rFonts w:ascii="楷体" w:eastAsia="楷体" w:hAnsi="楷体" w:cs="楷体" w:hint="eastAsia"/>
                <w:sz w:val="24"/>
                <w:szCs w:val="24"/>
              </w:rPr>
              <w:t>、碰伤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455475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97620" w:rsidRPr="007C1B9B" w:rsidRDefault="00097620" w:rsidP="00097620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经评价涉及质检部门的不可接受危险源：火灾和触电事故的发生。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097620" w:rsidRPr="007C1B9B" w:rsidRDefault="00097620" w:rsidP="00097620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097620" w:rsidRPr="007C1B9B" w:rsidRDefault="0009762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7620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》、《节约能源资源管理办法》、《环境保护管理办法》、《消防安全管理程序》、《劳保、消防用品管理办法》、《职工安全守则》、《火灾应急响应规范》等环境与安全管理制度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教学仪器、实验室仪器、数码产品、农产品检验检测设备、食品药品检测设备、环保检测设备、质量技术检验检测设备、动物防治设备、仪器仪表、化学化工仪器、石油化工仪器、办公设备、水利检测设备、路桥检测设备、计算机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097620" w:rsidRPr="007C1B9B" w:rsidRDefault="00097620" w:rsidP="0009762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097620" w:rsidRPr="007C1B9B" w:rsidRDefault="00097620" w:rsidP="000976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部门运行控制能结合产品生命周期方法，基本有效。</w:t>
            </w:r>
          </w:p>
        </w:tc>
        <w:tc>
          <w:tcPr>
            <w:tcW w:w="1585" w:type="dxa"/>
          </w:tcPr>
          <w:p w:rsidR="00097620" w:rsidRPr="007C1B9B" w:rsidRDefault="0009762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66EF" w:rsidRPr="007C1B9B" w:rsidTr="00735AA0">
        <w:trPr>
          <w:trHeight w:val="1403"/>
        </w:trPr>
        <w:tc>
          <w:tcPr>
            <w:tcW w:w="1809" w:type="dxa"/>
          </w:tcPr>
          <w:p w:rsidR="007466EF" w:rsidRPr="00B20E72" w:rsidRDefault="007466EF" w:rsidP="004D582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7466EF" w:rsidRPr="00B20E72" w:rsidRDefault="007466EF" w:rsidP="004D582D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>E/S</w:t>
            </w: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7466EF" w:rsidRPr="00B20E72" w:rsidRDefault="007466EF" w:rsidP="004D582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JCJX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>.CX14-2018》，制定了火灾、触电、人员伤亡应急预案共计3项。内容包括：目的、适用范围、职责、应急处理细则、演习、必备资料等。</w:t>
            </w:r>
          </w:p>
          <w:p w:rsidR="007466EF" w:rsidRPr="00B20E72" w:rsidRDefault="00590BE0" w:rsidP="004D582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7466EF" w:rsidRPr="00B20E7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E4A2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7466EF" w:rsidRPr="00B20E72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E4A22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bookmarkStart w:id="0" w:name="_GoBack"/>
            <w:bookmarkEnd w:id="0"/>
            <w:r w:rsidR="007466EF" w:rsidRPr="00B20E72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7466EF" w:rsidRPr="00B20E72" w:rsidRDefault="007466EF" w:rsidP="004D582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未发生紧急情况</w:t>
            </w:r>
            <w:r w:rsidRPr="00B20E7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466EF" w:rsidRPr="007C1B9B" w:rsidRDefault="007466E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AE" w:rsidRDefault="002753AE" w:rsidP="008973EE">
      <w:r>
        <w:separator/>
      </w:r>
    </w:p>
  </w:endnote>
  <w:endnote w:type="continuationSeparator" w:id="0">
    <w:p w:rsidR="002753AE" w:rsidRDefault="002753A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97620" w:rsidRDefault="0009762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4A22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4A22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7620" w:rsidRDefault="000976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AE" w:rsidRDefault="002753AE" w:rsidP="008973EE">
      <w:r>
        <w:separator/>
      </w:r>
    </w:p>
  </w:footnote>
  <w:footnote w:type="continuationSeparator" w:id="0">
    <w:p w:rsidR="002753AE" w:rsidRDefault="002753A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20" w:rsidRPr="00390345" w:rsidRDefault="00097620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7620" w:rsidRDefault="0009762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097620" w:rsidRPr="000B51BD" w:rsidRDefault="00097620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097620" w:rsidRDefault="000976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15202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B0E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97620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6D96"/>
    <w:rsid w:val="001677C1"/>
    <w:rsid w:val="0018223E"/>
    <w:rsid w:val="00185B2C"/>
    <w:rsid w:val="001918ED"/>
    <w:rsid w:val="00192A7F"/>
    <w:rsid w:val="001945F3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D4AD8"/>
    <w:rsid w:val="001D54FF"/>
    <w:rsid w:val="001E1974"/>
    <w:rsid w:val="001E5AA7"/>
    <w:rsid w:val="002027AD"/>
    <w:rsid w:val="00202BC2"/>
    <w:rsid w:val="00204D13"/>
    <w:rsid w:val="00205626"/>
    <w:rsid w:val="0021016E"/>
    <w:rsid w:val="00211FFC"/>
    <w:rsid w:val="00214113"/>
    <w:rsid w:val="00215081"/>
    <w:rsid w:val="0022146A"/>
    <w:rsid w:val="00222532"/>
    <w:rsid w:val="002247A0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53AE"/>
    <w:rsid w:val="002766C0"/>
    <w:rsid w:val="0028347E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1E89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06A66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4573B"/>
    <w:rsid w:val="00454338"/>
    <w:rsid w:val="00455475"/>
    <w:rsid w:val="00456697"/>
    <w:rsid w:val="00463E13"/>
    <w:rsid w:val="00465FE1"/>
    <w:rsid w:val="00475491"/>
    <w:rsid w:val="00476A7B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E0FC4"/>
    <w:rsid w:val="004F185D"/>
    <w:rsid w:val="004F45F6"/>
    <w:rsid w:val="0050076C"/>
    <w:rsid w:val="005056ED"/>
    <w:rsid w:val="00512A01"/>
    <w:rsid w:val="00515ED3"/>
    <w:rsid w:val="00517E4C"/>
    <w:rsid w:val="00521CF0"/>
    <w:rsid w:val="0053208B"/>
    <w:rsid w:val="00534814"/>
    <w:rsid w:val="00536930"/>
    <w:rsid w:val="00554582"/>
    <w:rsid w:val="00560A2A"/>
    <w:rsid w:val="00561381"/>
    <w:rsid w:val="00561E5D"/>
    <w:rsid w:val="00564E53"/>
    <w:rsid w:val="00580D7C"/>
    <w:rsid w:val="00583277"/>
    <w:rsid w:val="00590BE0"/>
    <w:rsid w:val="00592C3E"/>
    <w:rsid w:val="00594122"/>
    <w:rsid w:val="005A000F"/>
    <w:rsid w:val="005A071F"/>
    <w:rsid w:val="005A2958"/>
    <w:rsid w:val="005A43AB"/>
    <w:rsid w:val="005A65D7"/>
    <w:rsid w:val="005B173D"/>
    <w:rsid w:val="005B6616"/>
    <w:rsid w:val="005B6888"/>
    <w:rsid w:val="005E1045"/>
    <w:rsid w:val="005E3444"/>
    <w:rsid w:val="005F6C65"/>
    <w:rsid w:val="005F7BC2"/>
    <w:rsid w:val="00600F02"/>
    <w:rsid w:val="0060444D"/>
    <w:rsid w:val="00621169"/>
    <w:rsid w:val="00641945"/>
    <w:rsid w:val="00642776"/>
    <w:rsid w:val="00644FE2"/>
    <w:rsid w:val="00645FB8"/>
    <w:rsid w:val="00651986"/>
    <w:rsid w:val="006545E8"/>
    <w:rsid w:val="00657DBE"/>
    <w:rsid w:val="00664736"/>
    <w:rsid w:val="00665980"/>
    <w:rsid w:val="00670FF3"/>
    <w:rsid w:val="00671FDF"/>
    <w:rsid w:val="0067640C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7439"/>
    <w:rsid w:val="006B7D00"/>
    <w:rsid w:val="006C24BF"/>
    <w:rsid w:val="006C2A90"/>
    <w:rsid w:val="006C40B9"/>
    <w:rsid w:val="006E0FEE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6AE"/>
    <w:rsid w:val="00735790"/>
    <w:rsid w:val="00735AA0"/>
    <w:rsid w:val="00737C8F"/>
    <w:rsid w:val="007406DE"/>
    <w:rsid w:val="00743E79"/>
    <w:rsid w:val="00744BEA"/>
    <w:rsid w:val="007466EF"/>
    <w:rsid w:val="00751532"/>
    <w:rsid w:val="00751C37"/>
    <w:rsid w:val="0075769B"/>
    <w:rsid w:val="007728F2"/>
    <w:rsid w:val="007757F3"/>
    <w:rsid w:val="007815DC"/>
    <w:rsid w:val="00782275"/>
    <w:rsid w:val="00782BEE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17A5C"/>
    <w:rsid w:val="00835B31"/>
    <w:rsid w:val="00840D1C"/>
    <w:rsid w:val="0085397F"/>
    <w:rsid w:val="008646DE"/>
    <w:rsid w:val="00864902"/>
    <w:rsid w:val="00864BE7"/>
    <w:rsid w:val="00865200"/>
    <w:rsid w:val="00871695"/>
    <w:rsid w:val="0088467A"/>
    <w:rsid w:val="00891C25"/>
    <w:rsid w:val="008973EE"/>
    <w:rsid w:val="008B3CE4"/>
    <w:rsid w:val="008D089D"/>
    <w:rsid w:val="008D08A4"/>
    <w:rsid w:val="008E34A1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6E16"/>
    <w:rsid w:val="00930694"/>
    <w:rsid w:val="0093521F"/>
    <w:rsid w:val="00945677"/>
    <w:rsid w:val="00947D72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17F7A"/>
    <w:rsid w:val="00A2351B"/>
    <w:rsid w:val="00A433DF"/>
    <w:rsid w:val="00A55DA1"/>
    <w:rsid w:val="00A67DB6"/>
    <w:rsid w:val="00A73A0D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0EE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83AE5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F202C"/>
    <w:rsid w:val="00BF597E"/>
    <w:rsid w:val="00BF6286"/>
    <w:rsid w:val="00C01C50"/>
    <w:rsid w:val="00C03098"/>
    <w:rsid w:val="00C14685"/>
    <w:rsid w:val="00C31C73"/>
    <w:rsid w:val="00C40BA8"/>
    <w:rsid w:val="00C51A36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96BD9"/>
    <w:rsid w:val="00CB260B"/>
    <w:rsid w:val="00CB4DF1"/>
    <w:rsid w:val="00CC4B99"/>
    <w:rsid w:val="00CD038D"/>
    <w:rsid w:val="00CE2A9E"/>
    <w:rsid w:val="00CE315A"/>
    <w:rsid w:val="00CE4A22"/>
    <w:rsid w:val="00CE7BE1"/>
    <w:rsid w:val="00CF147A"/>
    <w:rsid w:val="00CF1726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29D7"/>
    <w:rsid w:val="00D42F03"/>
    <w:rsid w:val="00D50E41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4BEC"/>
    <w:rsid w:val="00DE5F76"/>
    <w:rsid w:val="00DE6FCE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0E3"/>
    <w:rsid w:val="00E9733E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472CE"/>
    <w:rsid w:val="00F5281E"/>
    <w:rsid w:val="00F606E1"/>
    <w:rsid w:val="00F6739D"/>
    <w:rsid w:val="00F76B69"/>
    <w:rsid w:val="00F83639"/>
    <w:rsid w:val="00F840C3"/>
    <w:rsid w:val="00F856F5"/>
    <w:rsid w:val="00F92E06"/>
    <w:rsid w:val="00F956F5"/>
    <w:rsid w:val="00FA0833"/>
    <w:rsid w:val="00FA350D"/>
    <w:rsid w:val="00FB03C3"/>
    <w:rsid w:val="00FB5281"/>
    <w:rsid w:val="00FB5A65"/>
    <w:rsid w:val="00FC152D"/>
    <w:rsid w:val="00FD0C77"/>
    <w:rsid w:val="00FD2869"/>
    <w:rsid w:val="00FD5EE5"/>
    <w:rsid w:val="00FD72A6"/>
    <w:rsid w:val="00FE0623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13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519</cp:revision>
  <dcterms:created xsi:type="dcterms:W3CDTF">2015-06-17T12:51:00Z</dcterms:created>
  <dcterms:modified xsi:type="dcterms:W3CDTF">2020-12-25T12:39:00Z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