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Times New Roman"/>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重庆市重点产业人力资源服务有限公司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168"/>
        <w:gridCol w:w="840"/>
        <w:gridCol w:w="1524"/>
        <w:gridCol w:w="2286"/>
        <w:gridCol w:w="311"/>
        <w:gridCol w:w="682"/>
        <w:gridCol w:w="850"/>
        <w:gridCol w:w="8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9"/>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6"/>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9"/>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1"/>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709" w:type="dxa"/>
            <w:gridSpan w:val="2"/>
            <w:vAlign w:val="center"/>
          </w:tcPr>
          <w:p>
            <w:pPr>
              <w:jc w:val="center"/>
              <w:rPr>
                <w:b/>
                <w:sz w:val="21"/>
                <w:szCs w:val="21"/>
              </w:rPr>
            </w:pPr>
            <w:r>
              <w:rPr>
                <w:rFonts w:hint="eastAsia"/>
                <w:b/>
                <w:sz w:val="21"/>
                <w:szCs w:val="21"/>
              </w:rPr>
              <w:t>性别</w:t>
            </w:r>
          </w:p>
        </w:tc>
        <w:tc>
          <w:tcPr>
            <w:tcW w:w="840" w:type="dxa"/>
            <w:vAlign w:val="center"/>
          </w:tcPr>
          <w:p>
            <w:pPr>
              <w:jc w:val="center"/>
              <w:rPr>
                <w:b/>
                <w:sz w:val="21"/>
                <w:szCs w:val="21"/>
              </w:rPr>
            </w:pPr>
            <w:r>
              <w:rPr>
                <w:rFonts w:hint="eastAsia"/>
                <w:b/>
                <w:sz w:val="21"/>
                <w:szCs w:val="21"/>
              </w:rPr>
              <w:t>职务</w:t>
            </w:r>
          </w:p>
        </w:tc>
        <w:tc>
          <w:tcPr>
            <w:tcW w:w="1524" w:type="dxa"/>
            <w:vAlign w:val="center"/>
          </w:tcPr>
          <w:p>
            <w:pPr>
              <w:jc w:val="center"/>
              <w:rPr>
                <w:b/>
                <w:sz w:val="21"/>
                <w:szCs w:val="21"/>
              </w:rPr>
            </w:pPr>
            <w:r>
              <w:rPr>
                <w:rFonts w:hint="eastAsia"/>
                <w:b/>
                <w:sz w:val="21"/>
                <w:szCs w:val="21"/>
              </w:rPr>
              <w:t>注册级别</w:t>
            </w:r>
          </w:p>
        </w:tc>
        <w:tc>
          <w:tcPr>
            <w:tcW w:w="2286" w:type="dxa"/>
            <w:vAlign w:val="center"/>
          </w:tcPr>
          <w:p>
            <w:pPr>
              <w:jc w:val="center"/>
              <w:rPr>
                <w:b/>
                <w:sz w:val="21"/>
                <w:szCs w:val="21"/>
              </w:rPr>
            </w:pPr>
            <w:r>
              <w:rPr>
                <w:rFonts w:hint="eastAsia"/>
                <w:b/>
                <w:sz w:val="21"/>
                <w:szCs w:val="21"/>
              </w:rPr>
              <w:t>审核员注册号</w:t>
            </w:r>
          </w:p>
        </w:tc>
        <w:tc>
          <w:tcPr>
            <w:tcW w:w="1926" w:type="dxa"/>
            <w:gridSpan w:val="4"/>
            <w:vAlign w:val="center"/>
          </w:tcPr>
          <w:p>
            <w:pPr>
              <w:jc w:val="center"/>
              <w:rPr>
                <w:b/>
                <w:sz w:val="21"/>
                <w:szCs w:val="21"/>
              </w:rPr>
            </w:pPr>
            <w:r>
              <w:rPr>
                <w:rFonts w:hint="eastAsia"/>
                <w:b/>
                <w:sz w:val="21"/>
                <w:szCs w:val="21"/>
              </w:rPr>
              <w:t>专业代码</w:t>
            </w:r>
          </w:p>
        </w:tc>
        <w:tc>
          <w:tcPr>
            <w:tcW w:w="1531"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709" w:type="dxa"/>
            <w:gridSpan w:val="2"/>
            <w:vAlign w:val="center"/>
          </w:tcPr>
          <w:p>
            <w:pPr>
              <w:jc w:val="center"/>
              <w:rPr>
                <w:b/>
                <w:sz w:val="21"/>
                <w:szCs w:val="21"/>
              </w:rPr>
            </w:pPr>
            <w:r>
              <w:rPr>
                <w:b/>
                <w:sz w:val="21"/>
                <w:szCs w:val="21"/>
              </w:rPr>
              <w:t>男</w:t>
            </w:r>
          </w:p>
        </w:tc>
        <w:tc>
          <w:tcPr>
            <w:tcW w:w="840" w:type="dxa"/>
            <w:vAlign w:val="center"/>
          </w:tcPr>
          <w:p>
            <w:pPr>
              <w:jc w:val="center"/>
              <w:rPr>
                <w:b/>
                <w:sz w:val="21"/>
                <w:szCs w:val="21"/>
              </w:rPr>
            </w:pPr>
            <w:r>
              <w:rPr>
                <w:b/>
                <w:sz w:val="21"/>
                <w:szCs w:val="21"/>
              </w:rPr>
              <w:t>组长</w:t>
            </w:r>
          </w:p>
        </w:tc>
        <w:tc>
          <w:tcPr>
            <w:tcW w:w="1524"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p>
            <w:pPr>
              <w:jc w:val="center"/>
              <w:rPr>
                <w:b/>
                <w:sz w:val="21"/>
                <w:szCs w:val="21"/>
              </w:rPr>
            </w:pPr>
            <w:r>
              <w:rPr>
                <w:b/>
                <w:sz w:val="21"/>
                <w:szCs w:val="21"/>
              </w:rPr>
              <w:t>E:审核员</w:t>
            </w:r>
          </w:p>
        </w:tc>
        <w:tc>
          <w:tcPr>
            <w:tcW w:w="2286" w:type="dxa"/>
            <w:vAlign w:val="center"/>
          </w:tcPr>
          <w:p>
            <w:pPr>
              <w:jc w:val="center"/>
              <w:rPr>
                <w:b/>
                <w:sz w:val="21"/>
                <w:szCs w:val="21"/>
              </w:rPr>
            </w:pPr>
            <w:r>
              <w:rPr>
                <w:b/>
                <w:sz w:val="21"/>
                <w:szCs w:val="21"/>
              </w:rPr>
              <w:t>2019-N1QMS-3093566</w:t>
            </w:r>
          </w:p>
          <w:p>
            <w:pPr>
              <w:jc w:val="center"/>
              <w:rPr>
                <w:b/>
                <w:sz w:val="21"/>
                <w:szCs w:val="21"/>
              </w:rPr>
            </w:pPr>
            <w:r>
              <w:rPr>
                <w:b/>
                <w:sz w:val="21"/>
                <w:szCs w:val="21"/>
              </w:rPr>
              <w:t>2019-N1OHSMS-2093566</w:t>
            </w:r>
          </w:p>
          <w:p>
            <w:pPr>
              <w:jc w:val="center"/>
              <w:rPr>
                <w:b/>
                <w:sz w:val="21"/>
                <w:szCs w:val="21"/>
              </w:rPr>
            </w:pPr>
            <w:r>
              <w:rPr>
                <w:b/>
                <w:sz w:val="21"/>
                <w:szCs w:val="21"/>
              </w:rPr>
              <w:t>2018-N1EMS-2093566</w:t>
            </w:r>
          </w:p>
        </w:tc>
        <w:tc>
          <w:tcPr>
            <w:tcW w:w="1926" w:type="dxa"/>
            <w:gridSpan w:val="4"/>
            <w:vAlign w:val="center"/>
          </w:tcPr>
          <w:p>
            <w:pPr>
              <w:jc w:val="center"/>
              <w:rPr>
                <w:b/>
                <w:sz w:val="21"/>
                <w:szCs w:val="21"/>
              </w:rPr>
            </w:pPr>
            <w:r>
              <w:rPr>
                <w:b/>
                <w:sz w:val="21"/>
                <w:szCs w:val="21"/>
              </w:rPr>
              <w:t>Q:33.02.01,35.10.00</w:t>
            </w:r>
          </w:p>
          <w:p>
            <w:pPr>
              <w:jc w:val="center"/>
              <w:rPr>
                <w:b/>
                <w:sz w:val="21"/>
                <w:szCs w:val="21"/>
              </w:rPr>
            </w:pPr>
            <w:r>
              <w:rPr>
                <w:b/>
                <w:sz w:val="21"/>
                <w:szCs w:val="21"/>
              </w:rPr>
              <w:t>O:33.02.01,35.10.00,35.20.00</w:t>
            </w:r>
          </w:p>
          <w:p>
            <w:pPr>
              <w:jc w:val="center"/>
              <w:rPr>
                <w:b/>
                <w:sz w:val="21"/>
                <w:szCs w:val="21"/>
              </w:rPr>
            </w:pPr>
            <w:r>
              <w:rPr>
                <w:b/>
                <w:sz w:val="21"/>
                <w:szCs w:val="21"/>
              </w:rPr>
              <w:t>E:33.02.01,35.10.00,35.20.00</w:t>
            </w:r>
          </w:p>
        </w:tc>
        <w:tc>
          <w:tcPr>
            <w:tcW w:w="1531"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709" w:type="dxa"/>
            <w:gridSpan w:val="2"/>
            <w:vAlign w:val="center"/>
          </w:tcPr>
          <w:p>
            <w:pPr>
              <w:jc w:val="center"/>
              <w:rPr>
                <w:b/>
                <w:sz w:val="21"/>
                <w:szCs w:val="21"/>
              </w:rPr>
            </w:pPr>
            <w:r>
              <w:rPr>
                <w:b/>
                <w:sz w:val="21"/>
                <w:szCs w:val="21"/>
              </w:rPr>
              <w:t>女</w:t>
            </w:r>
          </w:p>
        </w:tc>
        <w:tc>
          <w:tcPr>
            <w:tcW w:w="840" w:type="dxa"/>
            <w:vAlign w:val="center"/>
          </w:tcPr>
          <w:p>
            <w:pPr>
              <w:jc w:val="center"/>
              <w:rPr>
                <w:b/>
                <w:sz w:val="21"/>
                <w:szCs w:val="21"/>
              </w:rPr>
            </w:pPr>
            <w:r>
              <w:rPr>
                <w:b/>
                <w:sz w:val="21"/>
                <w:szCs w:val="21"/>
              </w:rPr>
              <w:t>组员</w:t>
            </w:r>
          </w:p>
        </w:tc>
        <w:tc>
          <w:tcPr>
            <w:tcW w:w="1524"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p>
            <w:pPr>
              <w:jc w:val="center"/>
              <w:rPr>
                <w:b/>
                <w:sz w:val="21"/>
                <w:szCs w:val="21"/>
              </w:rPr>
            </w:pPr>
          </w:p>
        </w:tc>
        <w:tc>
          <w:tcPr>
            <w:tcW w:w="2286" w:type="dxa"/>
            <w:vAlign w:val="center"/>
          </w:tcPr>
          <w:p>
            <w:pPr>
              <w:jc w:val="center"/>
              <w:rPr>
                <w:b/>
                <w:sz w:val="21"/>
                <w:szCs w:val="21"/>
              </w:rPr>
            </w:pPr>
            <w:r>
              <w:rPr>
                <w:b/>
                <w:sz w:val="21"/>
                <w:szCs w:val="21"/>
              </w:rPr>
              <w:t>2018-N1QMS-2207381</w:t>
            </w:r>
          </w:p>
          <w:p>
            <w:pPr>
              <w:jc w:val="center"/>
              <w:rPr>
                <w:b/>
                <w:sz w:val="21"/>
                <w:szCs w:val="21"/>
              </w:rPr>
            </w:pPr>
            <w:r>
              <w:rPr>
                <w:b/>
                <w:sz w:val="21"/>
                <w:szCs w:val="21"/>
              </w:rPr>
              <w:t>2020-N0EMS-1207381</w:t>
            </w:r>
          </w:p>
        </w:tc>
        <w:tc>
          <w:tcPr>
            <w:tcW w:w="1926" w:type="dxa"/>
            <w:gridSpan w:val="4"/>
            <w:vAlign w:val="center"/>
          </w:tcPr>
          <w:p>
            <w:pPr>
              <w:jc w:val="center"/>
              <w:rPr>
                <w:b/>
                <w:sz w:val="21"/>
                <w:szCs w:val="21"/>
              </w:rPr>
            </w:pPr>
            <w:r>
              <w:rPr>
                <w:b/>
                <w:sz w:val="21"/>
                <w:szCs w:val="21"/>
              </w:rPr>
              <w:t>Q:33.02.01</w:t>
            </w:r>
          </w:p>
          <w:p>
            <w:pPr>
              <w:jc w:val="center"/>
              <w:rPr>
                <w:b/>
                <w:sz w:val="21"/>
                <w:szCs w:val="21"/>
              </w:rPr>
            </w:pPr>
            <w:r>
              <w:rPr>
                <w:b/>
                <w:sz w:val="21"/>
                <w:szCs w:val="21"/>
              </w:rPr>
              <w:t>E:33.02.01,35.10.00,35.20.00</w:t>
            </w:r>
          </w:p>
        </w:tc>
        <w:tc>
          <w:tcPr>
            <w:tcW w:w="1531"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709" w:type="dxa"/>
            <w:gridSpan w:val="2"/>
            <w:vAlign w:val="center"/>
          </w:tcPr>
          <w:p>
            <w:pPr>
              <w:jc w:val="center"/>
              <w:rPr>
                <w:b/>
                <w:sz w:val="21"/>
                <w:szCs w:val="21"/>
              </w:rPr>
            </w:pPr>
            <w:r>
              <w:rPr>
                <w:b/>
                <w:sz w:val="21"/>
                <w:szCs w:val="21"/>
              </w:rPr>
              <w:t>女</w:t>
            </w:r>
          </w:p>
        </w:tc>
        <w:tc>
          <w:tcPr>
            <w:tcW w:w="840" w:type="dxa"/>
            <w:vAlign w:val="center"/>
          </w:tcPr>
          <w:p>
            <w:pPr>
              <w:jc w:val="center"/>
              <w:rPr>
                <w:b/>
                <w:sz w:val="21"/>
                <w:szCs w:val="21"/>
              </w:rPr>
            </w:pPr>
            <w:r>
              <w:rPr>
                <w:b/>
                <w:sz w:val="21"/>
                <w:szCs w:val="21"/>
              </w:rPr>
              <w:t>组员</w:t>
            </w:r>
          </w:p>
        </w:tc>
        <w:tc>
          <w:tcPr>
            <w:tcW w:w="1524"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286"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926" w:type="dxa"/>
            <w:gridSpan w:val="4"/>
            <w:vAlign w:val="center"/>
          </w:tcPr>
          <w:p>
            <w:pPr>
              <w:jc w:val="center"/>
              <w:rPr>
                <w:b/>
                <w:sz w:val="21"/>
                <w:szCs w:val="21"/>
              </w:rPr>
            </w:pPr>
          </w:p>
        </w:tc>
        <w:tc>
          <w:tcPr>
            <w:tcW w:w="1531"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汪兴渔</w:t>
            </w:r>
          </w:p>
        </w:tc>
        <w:tc>
          <w:tcPr>
            <w:tcW w:w="709" w:type="dxa"/>
            <w:gridSpan w:val="2"/>
            <w:vAlign w:val="center"/>
          </w:tcPr>
          <w:p>
            <w:pPr>
              <w:jc w:val="center"/>
              <w:rPr>
                <w:b/>
                <w:sz w:val="21"/>
                <w:szCs w:val="21"/>
              </w:rPr>
            </w:pPr>
            <w:r>
              <w:rPr>
                <w:rFonts w:hint="eastAsia"/>
                <w:b/>
                <w:sz w:val="21"/>
                <w:szCs w:val="21"/>
              </w:rPr>
              <w:t>男</w:t>
            </w:r>
          </w:p>
        </w:tc>
        <w:tc>
          <w:tcPr>
            <w:tcW w:w="840" w:type="dxa"/>
            <w:vAlign w:val="center"/>
          </w:tcPr>
          <w:p>
            <w:pPr>
              <w:jc w:val="center"/>
              <w:rPr>
                <w:b/>
                <w:sz w:val="21"/>
                <w:szCs w:val="21"/>
              </w:rPr>
            </w:pPr>
            <w:r>
              <w:rPr>
                <w:b/>
                <w:sz w:val="21"/>
                <w:szCs w:val="21"/>
              </w:rPr>
              <w:t>组员</w:t>
            </w:r>
          </w:p>
        </w:tc>
        <w:tc>
          <w:tcPr>
            <w:tcW w:w="1524" w:type="dxa"/>
            <w:vAlign w:val="center"/>
          </w:tcPr>
          <w:p>
            <w:pPr>
              <w:jc w:val="center"/>
              <w:rPr>
                <w:b/>
                <w:sz w:val="21"/>
                <w:szCs w:val="21"/>
              </w:rPr>
            </w:pPr>
            <w:r>
              <w:rPr>
                <w:b/>
                <w:sz w:val="21"/>
                <w:szCs w:val="21"/>
              </w:rPr>
              <w:t>Q:专家</w:t>
            </w:r>
          </w:p>
          <w:p>
            <w:pPr>
              <w:jc w:val="center"/>
              <w:rPr>
                <w:b/>
                <w:sz w:val="21"/>
                <w:szCs w:val="21"/>
              </w:rPr>
            </w:pPr>
            <w:r>
              <w:rPr>
                <w:b/>
                <w:sz w:val="21"/>
                <w:szCs w:val="21"/>
              </w:rPr>
              <w:t>O:专家</w:t>
            </w:r>
          </w:p>
          <w:p>
            <w:pPr>
              <w:jc w:val="center"/>
              <w:rPr>
                <w:b/>
                <w:sz w:val="21"/>
                <w:szCs w:val="21"/>
              </w:rPr>
            </w:pPr>
            <w:r>
              <w:rPr>
                <w:b/>
                <w:sz w:val="21"/>
                <w:szCs w:val="21"/>
              </w:rPr>
              <w:t>E:专家</w:t>
            </w:r>
          </w:p>
          <w:p>
            <w:pPr>
              <w:jc w:val="center"/>
              <w:rPr>
                <w:b/>
                <w:sz w:val="21"/>
                <w:szCs w:val="21"/>
                <w:lang w:val="en-US" w:eastAsia="zh-CN"/>
              </w:rPr>
            </w:pPr>
          </w:p>
        </w:tc>
        <w:tc>
          <w:tcPr>
            <w:tcW w:w="2597" w:type="dxa"/>
            <w:gridSpan w:val="2"/>
            <w:vAlign w:val="center"/>
          </w:tcPr>
          <w:p>
            <w:pPr>
              <w:jc w:val="center"/>
              <w:rPr>
                <w:b/>
                <w:sz w:val="21"/>
                <w:szCs w:val="21"/>
              </w:rPr>
            </w:pPr>
            <w:r>
              <w:rPr>
                <w:b/>
                <w:sz w:val="21"/>
                <w:szCs w:val="21"/>
              </w:rPr>
              <w:t>ISC-JSZJ-228</w:t>
            </w:r>
          </w:p>
          <w:p>
            <w:pPr>
              <w:jc w:val="center"/>
              <w:rPr>
                <w:b/>
                <w:sz w:val="21"/>
                <w:szCs w:val="21"/>
              </w:rPr>
            </w:pPr>
            <w:r>
              <w:rPr>
                <w:b/>
                <w:sz w:val="21"/>
                <w:szCs w:val="21"/>
              </w:rPr>
              <w:t>ISC-JSZJ-228</w:t>
            </w:r>
          </w:p>
          <w:p>
            <w:pPr>
              <w:jc w:val="center"/>
              <w:rPr>
                <w:b/>
                <w:sz w:val="21"/>
                <w:szCs w:val="21"/>
              </w:rPr>
            </w:pPr>
            <w:r>
              <w:rPr>
                <w:b/>
                <w:sz w:val="21"/>
                <w:szCs w:val="21"/>
              </w:rPr>
              <w:t>ISC-JSZJ-228</w:t>
            </w:r>
          </w:p>
          <w:p>
            <w:pPr>
              <w:jc w:val="center"/>
              <w:rPr>
                <w:b/>
                <w:sz w:val="21"/>
                <w:szCs w:val="21"/>
                <w:lang w:val="en-US" w:eastAsia="zh-CN"/>
              </w:rPr>
            </w:pPr>
            <w:r>
              <w:rPr>
                <w:b/>
                <w:sz w:val="21"/>
                <w:szCs w:val="21"/>
              </w:rPr>
              <w:t>重庆雄越会展有限公司</w:t>
            </w:r>
          </w:p>
        </w:tc>
        <w:tc>
          <w:tcPr>
            <w:tcW w:w="1615" w:type="dxa"/>
            <w:gridSpan w:val="3"/>
            <w:vAlign w:val="center"/>
          </w:tcPr>
          <w:p>
            <w:pPr>
              <w:jc w:val="center"/>
              <w:rPr>
                <w:b/>
                <w:sz w:val="21"/>
                <w:szCs w:val="21"/>
              </w:rPr>
            </w:pPr>
            <w:r>
              <w:rPr>
                <w:b/>
                <w:sz w:val="21"/>
                <w:szCs w:val="21"/>
              </w:rPr>
              <w:t>Q:35.20.00</w:t>
            </w:r>
          </w:p>
          <w:p>
            <w:pPr>
              <w:jc w:val="center"/>
              <w:rPr>
                <w:b/>
                <w:sz w:val="21"/>
                <w:szCs w:val="21"/>
              </w:rPr>
            </w:pPr>
            <w:r>
              <w:rPr>
                <w:b/>
                <w:sz w:val="21"/>
                <w:szCs w:val="21"/>
              </w:rPr>
              <w:t>O:35.20.00</w:t>
            </w:r>
          </w:p>
          <w:p>
            <w:pPr>
              <w:jc w:val="center"/>
              <w:rPr>
                <w:b/>
                <w:sz w:val="21"/>
                <w:szCs w:val="21"/>
              </w:rPr>
            </w:pPr>
            <w:r>
              <w:rPr>
                <w:b/>
                <w:sz w:val="21"/>
                <w:szCs w:val="21"/>
              </w:rPr>
              <w:t>E:35.20.00</w:t>
            </w:r>
          </w:p>
        </w:tc>
        <w:tc>
          <w:tcPr>
            <w:tcW w:w="1531" w:type="dxa"/>
            <w:vAlign w:val="center"/>
          </w:tcPr>
          <w:p>
            <w:pPr>
              <w:jc w:val="center"/>
              <w:rPr>
                <w:b/>
                <w:sz w:val="21"/>
                <w:szCs w:val="21"/>
              </w:rPr>
            </w:pPr>
            <w:r>
              <w:rPr>
                <w:b/>
                <w:sz w:val="21"/>
                <w:szCs w:val="21"/>
              </w:rPr>
              <w:t>ISC-JSZJ-228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1"/>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709" w:type="dxa"/>
            <w:gridSpan w:val="2"/>
            <w:vAlign w:val="center"/>
          </w:tcPr>
          <w:p>
            <w:pPr>
              <w:jc w:val="center"/>
              <w:rPr>
                <w:b/>
                <w:sz w:val="21"/>
                <w:szCs w:val="21"/>
              </w:rPr>
            </w:pPr>
            <w:r>
              <w:rPr>
                <w:rFonts w:hint="eastAsia"/>
                <w:b/>
                <w:sz w:val="21"/>
                <w:szCs w:val="21"/>
              </w:rPr>
              <w:t>性别</w:t>
            </w:r>
          </w:p>
        </w:tc>
        <w:tc>
          <w:tcPr>
            <w:tcW w:w="840" w:type="dxa"/>
            <w:vAlign w:val="center"/>
          </w:tcPr>
          <w:p>
            <w:pPr>
              <w:jc w:val="center"/>
              <w:rPr>
                <w:b/>
                <w:sz w:val="21"/>
                <w:szCs w:val="21"/>
              </w:rPr>
            </w:pPr>
            <w:r>
              <w:rPr>
                <w:rFonts w:hint="eastAsia"/>
                <w:b/>
                <w:sz w:val="21"/>
                <w:szCs w:val="21"/>
              </w:rPr>
              <w:t>角色</w:t>
            </w:r>
          </w:p>
        </w:tc>
        <w:tc>
          <w:tcPr>
            <w:tcW w:w="7267" w:type="dxa"/>
            <w:gridSpan w:val="7"/>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709" w:type="dxa"/>
            <w:gridSpan w:val="2"/>
            <w:vAlign w:val="center"/>
          </w:tcPr>
          <w:p>
            <w:pPr>
              <w:jc w:val="center"/>
              <w:rPr>
                <w:b/>
                <w:sz w:val="21"/>
                <w:szCs w:val="21"/>
              </w:rPr>
            </w:pPr>
          </w:p>
        </w:tc>
        <w:tc>
          <w:tcPr>
            <w:tcW w:w="840" w:type="dxa"/>
            <w:vAlign w:val="center"/>
          </w:tcPr>
          <w:p>
            <w:pPr>
              <w:jc w:val="center"/>
              <w:rPr>
                <w:b/>
                <w:sz w:val="21"/>
                <w:szCs w:val="21"/>
              </w:rPr>
            </w:pPr>
          </w:p>
        </w:tc>
        <w:tc>
          <w:tcPr>
            <w:tcW w:w="7267" w:type="dxa"/>
            <w:gridSpan w:val="7"/>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709" w:type="dxa"/>
            <w:gridSpan w:val="2"/>
            <w:vAlign w:val="center"/>
          </w:tcPr>
          <w:p>
            <w:pPr>
              <w:jc w:val="center"/>
              <w:rPr>
                <w:b/>
              </w:rPr>
            </w:pPr>
          </w:p>
        </w:tc>
        <w:tc>
          <w:tcPr>
            <w:tcW w:w="840" w:type="dxa"/>
            <w:vAlign w:val="center"/>
          </w:tcPr>
          <w:p>
            <w:pPr>
              <w:jc w:val="center"/>
              <w:rPr>
                <w:b/>
              </w:rPr>
            </w:pPr>
          </w:p>
        </w:tc>
        <w:tc>
          <w:tcPr>
            <w:tcW w:w="7267" w:type="dxa"/>
            <w:gridSpan w:val="7"/>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709" w:type="dxa"/>
            <w:gridSpan w:val="2"/>
            <w:vAlign w:val="center"/>
          </w:tcPr>
          <w:p>
            <w:pPr>
              <w:jc w:val="center"/>
              <w:rPr>
                <w:b/>
              </w:rPr>
            </w:pPr>
          </w:p>
        </w:tc>
        <w:tc>
          <w:tcPr>
            <w:tcW w:w="840" w:type="dxa"/>
            <w:vAlign w:val="center"/>
          </w:tcPr>
          <w:p>
            <w:pPr>
              <w:jc w:val="center"/>
              <w:rPr>
                <w:b/>
              </w:rPr>
            </w:pPr>
          </w:p>
        </w:tc>
        <w:tc>
          <w:tcPr>
            <w:tcW w:w="7267" w:type="dxa"/>
            <w:gridSpan w:val="7"/>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ascii="宋体" w:hAnsi="宋体"/>
          <w:b/>
          <w:bCs/>
          <w:sz w:val="20"/>
          <w:u w:val="single"/>
        </w:rPr>
      </w:pPr>
      <w:r>
        <w:rPr>
          <w:rFonts w:hint="eastAsia" w:ascii="宋体" w:hAnsi="宋体" w:eastAsia="宋体" w:cs="宋体"/>
          <w:b/>
          <w:sz w:val="21"/>
          <w:szCs w:val="21"/>
        </w:rPr>
        <w:t>■</w:t>
      </w:r>
      <w:r>
        <w:rPr>
          <w:rFonts w:hint="eastAsia"/>
          <w:b/>
          <w:sz w:val="21"/>
          <w:szCs w:val="21"/>
        </w:rPr>
        <w:t>保持认证注册资格：_</w:t>
      </w:r>
      <w:bookmarkStart w:id="5" w:name="审核类型"/>
      <w:r>
        <w:rPr>
          <w:rFonts w:hint="eastAsia" w:ascii="宋体" w:hAnsi="宋体"/>
          <w:b/>
          <w:bCs/>
          <w:sz w:val="20"/>
          <w:u w:val="single"/>
        </w:rPr>
        <w:t>Q:监查1,O:监查1,E:监查1</w:t>
      </w:r>
      <w:bookmarkEnd w:id="5"/>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14"/>
        <w:gridCol w:w="2052"/>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55" w:type="dxa"/>
            <w:gridSpan w:val="2"/>
            <w:vAlign w:val="center"/>
          </w:tcPr>
          <w:p>
            <w:pPr>
              <w:spacing w:line="260" w:lineRule="exact"/>
              <w:jc w:val="center"/>
              <w:rPr>
                <w:rFonts w:ascii="宋体"/>
                <w:b/>
                <w:color w:val="000000" w:themeColor="text1"/>
                <w:sz w:val="16"/>
                <w:szCs w:val="16"/>
              </w:rPr>
            </w:pPr>
            <w:r>
              <w:rPr>
                <w:rFonts w:hint="eastAsia" w:ascii="宋体" w:hAnsi="宋体"/>
                <w:b/>
                <w:color w:val="000000" w:themeColor="text1"/>
                <w:sz w:val="21"/>
              </w:rPr>
              <w:t>受审核方名称</w:t>
            </w:r>
          </w:p>
        </w:tc>
        <w:tc>
          <w:tcPr>
            <w:tcW w:w="4779" w:type="dxa"/>
            <w:gridSpan w:val="4"/>
          </w:tcPr>
          <w:p>
            <w:pPr>
              <w:spacing w:line="260" w:lineRule="exact"/>
              <w:rPr>
                <w:rFonts w:ascii="宋体"/>
                <w:b/>
                <w:color w:val="000000" w:themeColor="text1"/>
                <w:sz w:val="21"/>
              </w:rPr>
            </w:pPr>
            <w:bookmarkStart w:id="10" w:name="组织名称Add"/>
            <w:r>
              <w:rPr>
                <w:rFonts w:ascii="宋体"/>
                <w:b/>
                <w:color w:val="000000" w:themeColor="text1"/>
                <w:sz w:val="21"/>
              </w:rPr>
              <w:t>重庆市重点产业人力资源服务有限公司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color w:val="000000" w:themeColor="text1"/>
                <w:sz w:val="21"/>
                <w:lang w:val="en-US" w:eastAsia="zh-CN"/>
                <w14:textFill>
                  <w14:solidFill>
                    <w14:schemeClr w14:val="tx1"/>
                  </w14:solidFill>
                </w14:textFill>
              </w:rPr>
              <w:t>269人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55" w:type="dxa"/>
            <w:gridSpan w:val="2"/>
            <w:vAlign w:val="center"/>
          </w:tcPr>
          <w:p>
            <w:pPr>
              <w:jc w:val="center"/>
              <w:rPr>
                <w:b/>
                <w:sz w:val="16"/>
                <w:szCs w:val="16"/>
              </w:rPr>
            </w:pPr>
            <w:r>
              <w:rPr>
                <w:rFonts w:hint="eastAsia" w:ascii="宋体" w:hAnsi="宋体"/>
                <w:b/>
                <w:sz w:val="21"/>
                <w:szCs w:val="21"/>
              </w:rPr>
              <w:t>注册地址</w:t>
            </w:r>
          </w:p>
        </w:tc>
        <w:tc>
          <w:tcPr>
            <w:tcW w:w="4779" w:type="dxa"/>
            <w:gridSpan w:val="4"/>
          </w:tcPr>
          <w:p>
            <w:pPr>
              <w:rPr>
                <w:rFonts w:ascii="宋体"/>
                <w:b/>
                <w:sz w:val="21"/>
              </w:rPr>
            </w:pPr>
            <w:bookmarkStart w:id="11" w:name="注册地址"/>
            <w:r>
              <w:rPr>
                <w:rFonts w:ascii="宋体"/>
                <w:b/>
                <w:sz w:val="21"/>
              </w:rPr>
              <w:t>重庆市渝北区春华大道99号北区7幢3层310号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55" w:type="dxa"/>
            <w:gridSpan w:val="2"/>
            <w:vAlign w:val="center"/>
          </w:tcPr>
          <w:p>
            <w:pPr>
              <w:jc w:val="center"/>
              <w:rPr>
                <w:rFonts w:ascii="宋体"/>
                <w:b/>
                <w:sz w:val="21"/>
                <w:szCs w:val="21"/>
              </w:rPr>
            </w:pPr>
            <w:r>
              <w:rPr>
                <w:rFonts w:hint="eastAsia" w:ascii="宋体" w:hAnsi="宋体"/>
                <w:b/>
                <w:sz w:val="21"/>
                <w:szCs w:val="21"/>
              </w:rPr>
              <w:t>经营地址</w:t>
            </w:r>
          </w:p>
        </w:tc>
        <w:tc>
          <w:tcPr>
            <w:tcW w:w="4779" w:type="dxa"/>
            <w:gridSpan w:val="4"/>
          </w:tcPr>
          <w:p>
            <w:pPr>
              <w:rPr>
                <w:rFonts w:ascii="宋体"/>
                <w:b/>
                <w:sz w:val="21"/>
              </w:rPr>
            </w:pPr>
            <w:bookmarkStart w:id="13" w:name="办公地址"/>
            <w:r>
              <w:rPr>
                <w:rFonts w:ascii="宋体"/>
                <w:b/>
                <w:sz w:val="21"/>
              </w:rPr>
              <w:t>重庆市渝北区春华大道99号北区6号楼306</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55"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79" w:type="dxa"/>
            <w:gridSpan w:val="4"/>
          </w:tcPr>
          <w:p>
            <w:pPr>
              <w:rPr>
                <w:rFonts w:ascii="宋体"/>
                <w:b/>
                <w:sz w:val="21"/>
              </w:rPr>
            </w:pPr>
            <w:bookmarkStart w:id="15" w:name="生产地址Add"/>
            <w:r>
              <w:rPr>
                <w:rFonts w:ascii="宋体"/>
                <w:b/>
                <w:sz w:val="21"/>
              </w:rPr>
              <w:t>重庆市渝北区春华大道99号北区6号楼306、705、706</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855" w:type="dxa"/>
            <w:gridSpan w:val="2"/>
            <w:vAlign w:val="center"/>
          </w:tcPr>
          <w:p>
            <w:pPr>
              <w:jc w:val="center"/>
              <w:rPr>
                <w:rFonts w:ascii="宋体"/>
                <w:b/>
                <w:sz w:val="21"/>
              </w:rPr>
            </w:pPr>
            <w:r>
              <w:rPr>
                <w:rFonts w:hint="eastAsia" w:ascii="宋体" w:hAnsi="宋体"/>
                <w:b/>
                <w:sz w:val="21"/>
              </w:rPr>
              <w:t>联系人</w:t>
            </w:r>
          </w:p>
        </w:tc>
        <w:tc>
          <w:tcPr>
            <w:tcW w:w="2052" w:type="dxa"/>
          </w:tcPr>
          <w:p>
            <w:pPr>
              <w:rPr>
                <w:rFonts w:ascii="宋体"/>
                <w:b/>
                <w:sz w:val="21"/>
              </w:rPr>
            </w:pPr>
            <w:bookmarkStart w:id="17" w:name="联系人"/>
            <w:r>
              <w:rPr>
                <w:rFonts w:ascii="宋体"/>
                <w:b/>
                <w:sz w:val="21"/>
              </w:rPr>
              <w:t>文婷</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17353104498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5"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052" w:type="dxa"/>
          </w:tcPr>
          <w:p>
            <w:pPr>
              <w:rPr>
                <w:rFonts w:ascii="宋体" w:hAnsi="宋体"/>
                <w:b/>
                <w:sz w:val="21"/>
                <w:szCs w:val="21"/>
              </w:rPr>
            </w:pPr>
            <w:bookmarkStart w:id="20" w:name="法人"/>
            <w:r>
              <w:rPr>
                <w:rFonts w:ascii="宋体" w:hAnsi="宋体"/>
                <w:b/>
                <w:sz w:val="21"/>
                <w:szCs w:val="21"/>
              </w:rPr>
              <w:t>唐继邦</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文婷</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55"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61" w:type="dxa"/>
            <w:gridSpan w:val="2"/>
            <w:vAlign w:val="center"/>
          </w:tcPr>
          <w:p>
            <w:pPr>
              <w:rPr>
                <w:rFonts w:ascii="宋体" w:hAnsi="宋体"/>
                <w:b/>
                <w:sz w:val="21"/>
                <w:szCs w:val="21"/>
              </w:rPr>
            </w:pPr>
            <w:bookmarkStart w:id="22" w:name="审核日期"/>
            <w:r>
              <w:rPr>
                <w:rFonts w:ascii="宋体" w:hAnsi="宋体"/>
                <w:b/>
                <w:sz w:val="21"/>
                <w:szCs w:val="21"/>
              </w:rPr>
              <w:t>2020年12月25日 上午至2020年12月27日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855"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951" w:type="dxa"/>
            <w:gridSpan w:val="6"/>
          </w:tcPr>
          <w:p>
            <w:pPr>
              <w:spacing w:line="360" w:lineRule="exact"/>
              <w:rPr>
                <w:rFonts w:hint="eastAsia"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E勾选Add1"/>
            <w:r>
              <w:rPr>
                <w:sz w:val="20"/>
              </w:rPr>
              <w:t>计算机网络科技领域内的技术开发，会议及展览服务，劳务派遣</w:t>
            </w:r>
          </w:p>
          <w:p>
            <w:pPr>
              <w:spacing w:line="360" w:lineRule="exact"/>
              <w:rPr>
                <w:rFonts w:ascii="宋体" w:hAnsi="宋体"/>
                <w:b/>
                <w:sz w:val="21"/>
                <w:szCs w:val="21"/>
              </w:rPr>
            </w:pPr>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计算机网络科技领域内的技术开发，会议及展览服务，劳务派遣所涉及场所相关的职业健康安全管理活动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计算机网络科技领域内的技术开发，会议及展览服务，劳务派遣所涉及场所相关的环境管理活动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814"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951" w:type="dxa"/>
            <w:gridSpan w:val="6"/>
          </w:tcPr>
          <w:p>
            <w:pPr>
              <w:spacing w:beforeLines="20"/>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beforeLines="20"/>
              <w:rPr>
                <w:rFonts w:hint="eastAsia"/>
                <w:sz w:val="21"/>
                <w:szCs w:val="21"/>
              </w:rPr>
            </w:pPr>
            <w:r>
              <w:rPr>
                <w:rFonts w:hint="eastAsia"/>
                <w:b/>
                <w:sz w:val="21"/>
                <w:szCs w:val="21"/>
              </w:rPr>
              <w:t>认证标准变更</w:t>
            </w:r>
            <w:r>
              <w:rPr>
                <w:rFonts w:hint="eastAsia"/>
                <w:sz w:val="21"/>
                <w:szCs w:val="21"/>
              </w:rPr>
              <w:t>：</w:t>
            </w:r>
          </w:p>
          <w:p>
            <w:pPr>
              <w:spacing w:beforeLines="20"/>
              <w:rPr>
                <w:sz w:val="21"/>
                <w:szCs w:val="21"/>
                <w:u w:val="single"/>
              </w:rPr>
            </w:pPr>
            <w:r>
              <w:rPr>
                <w:rFonts w:hint="eastAsia"/>
                <w:sz w:val="21"/>
                <w:szCs w:val="21"/>
              </w:rPr>
              <w:t>原依据标准：</w:t>
            </w:r>
            <w:r>
              <w:rPr>
                <w:sz w:val="21"/>
                <w:szCs w:val="21"/>
              </w:rPr>
              <w:t xml:space="preserve"> GB/T 28001-2011/OHSAS18001:2007</w:t>
            </w:r>
          </w:p>
          <w:p>
            <w:pPr>
              <w:rPr>
                <w:sz w:val="21"/>
                <w:szCs w:val="21"/>
                <w:u w:val="single"/>
              </w:rPr>
            </w:pPr>
            <w:r>
              <w:rPr>
                <w:rFonts w:hint="eastAsia"/>
                <w:sz w:val="21"/>
                <w:szCs w:val="21"/>
              </w:rPr>
              <w:t>现依据标准为： GB/T45001-2020 / ISO45001：2018</w:t>
            </w:r>
          </w:p>
          <w:p>
            <w:pPr>
              <w:rPr>
                <w:sz w:val="21"/>
                <w:szCs w:val="21"/>
              </w:rPr>
            </w:pPr>
            <w:r>
              <w:rPr>
                <w:rFonts w:hint="eastAsia"/>
                <w:b/>
                <w:sz w:val="21"/>
                <w:szCs w:val="21"/>
              </w:rPr>
              <w:t>认证范围变更</w:t>
            </w:r>
            <w:r>
              <w:rPr>
                <w:rFonts w:hint="eastAsia"/>
                <w:sz w:val="21"/>
                <w:szCs w:val="21"/>
              </w:rPr>
              <w:t>：</w:t>
            </w:r>
          </w:p>
          <w:p>
            <w:pPr>
              <w:spacing w:beforeLines="20"/>
              <w:rPr>
                <w:rFonts w:hint="eastAsia"/>
                <w:sz w:val="21"/>
                <w:szCs w:val="21"/>
              </w:rPr>
            </w:pPr>
            <w:r>
              <w:rPr>
                <w:rFonts w:hint="eastAsia"/>
                <w:sz w:val="21"/>
                <w:szCs w:val="21"/>
              </w:rPr>
              <w:t>原范围：</w:t>
            </w:r>
          </w:p>
          <w:p>
            <w:pPr>
              <w:spacing w:beforeLines="20"/>
              <w:rPr>
                <w:rFonts w:hint="eastAsia"/>
                <w:sz w:val="21"/>
                <w:szCs w:val="21"/>
              </w:rPr>
            </w:pPr>
            <w:r>
              <w:rPr>
                <w:rFonts w:hint="eastAsia"/>
                <w:sz w:val="21"/>
                <w:szCs w:val="21"/>
              </w:rPr>
              <w:t>Q:计算机网络科技领域内的技术开发，会议展览服务</w:t>
            </w:r>
          </w:p>
          <w:p>
            <w:pPr>
              <w:spacing w:beforeLines="20"/>
              <w:rPr>
                <w:rFonts w:hint="eastAsia"/>
                <w:sz w:val="21"/>
                <w:szCs w:val="21"/>
              </w:rPr>
            </w:pPr>
            <w:r>
              <w:rPr>
                <w:rFonts w:hint="eastAsia"/>
                <w:sz w:val="21"/>
                <w:szCs w:val="21"/>
              </w:rPr>
              <w:t>E:计算机网络科技领域内的技术开发，会议展览服务及相关环境管理活动</w:t>
            </w:r>
          </w:p>
          <w:p>
            <w:pPr>
              <w:spacing w:beforeLines="20"/>
              <w:rPr>
                <w:rFonts w:hint="eastAsia"/>
                <w:sz w:val="21"/>
                <w:szCs w:val="21"/>
              </w:rPr>
            </w:pPr>
            <w:r>
              <w:rPr>
                <w:rFonts w:hint="eastAsia"/>
                <w:sz w:val="21"/>
                <w:szCs w:val="21"/>
              </w:rPr>
              <w:t xml:space="preserve">O:计算机网络科技领域内的技术开发，会议展览服务及相关职业健康安全管理活动 </w:t>
            </w:r>
          </w:p>
          <w:p>
            <w:pPr>
              <w:spacing w:beforeLines="20"/>
              <w:rPr>
                <w:rFonts w:hint="eastAsia"/>
                <w:sz w:val="21"/>
                <w:szCs w:val="21"/>
              </w:rPr>
            </w:pPr>
            <w:r>
              <w:rPr>
                <w:rFonts w:hint="eastAsia"/>
                <w:sz w:val="21"/>
                <w:szCs w:val="21"/>
              </w:rPr>
              <w:t>现范围：</w:t>
            </w:r>
          </w:p>
          <w:p>
            <w:pPr>
              <w:spacing w:beforeLines="20"/>
              <w:rPr>
                <w:rFonts w:hint="eastAsia"/>
                <w:sz w:val="21"/>
                <w:szCs w:val="21"/>
              </w:rPr>
            </w:pPr>
            <w:r>
              <w:rPr>
                <w:rFonts w:hint="eastAsia"/>
                <w:sz w:val="21"/>
                <w:szCs w:val="21"/>
              </w:rPr>
              <w:t>Q:计算机网络科技领域内的技术开发，会议及展览服务，劳务派遣</w:t>
            </w:r>
          </w:p>
          <w:p>
            <w:pPr>
              <w:spacing w:beforeLines="20"/>
              <w:rPr>
                <w:rFonts w:hint="eastAsia"/>
                <w:sz w:val="21"/>
                <w:szCs w:val="21"/>
              </w:rPr>
            </w:pPr>
            <w:r>
              <w:rPr>
                <w:rFonts w:hint="eastAsia"/>
                <w:sz w:val="21"/>
                <w:szCs w:val="21"/>
              </w:rPr>
              <w:t>E: 计算机网络科技领域内的技术开发，会议及展览服务，劳务派遣所涉及场所相关的环境管理活动</w:t>
            </w:r>
          </w:p>
          <w:p>
            <w:pPr>
              <w:spacing w:beforeLines="20"/>
              <w:rPr>
                <w:rFonts w:hint="eastAsia"/>
                <w:sz w:val="21"/>
                <w:szCs w:val="21"/>
              </w:rPr>
            </w:pPr>
            <w:r>
              <w:rPr>
                <w:rFonts w:hint="eastAsia"/>
                <w:sz w:val="21"/>
                <w:szCs w:val="21"/>
              </w:rPr>
              <w:t>O:计算机网络科技领域内的技术开发，会议及展览服务，劳务派遣所涉及场所相关的职业健康安全管理活动</w:t>
            </w:r>
          </w:p>
          <w:p>
            <w:pPr>
              <w:rPr>
                <w:color w:val="FF0000"/>
                <w:sz w:val="21"/>
                <w:szCs w:val="21"/>
              </w:rPr>
            </w:pPr>
            <w:r>
              <w:rPr>
                <w:rFonts w:hint="eastAsia"/>
                <w:b/>
                <w:sz w:val="21"/>
                <w:szCs w:val="21"/>
              </w:rPr>
              <w:t>人数变更</w:t>
            </w:r>
            <w:r>
              <w:rPr>
                <w:rFonts w:hint="eastAsia"/>
                <w:sz w:val="21"/>
                <w:szCs w:val="21"/>
              </w:rPr>
              <w:t>：</w:t>
            </w:r>
            <w:r>
              <w:rPr>
                <w:rFonts w:hint="eastAsia"/>
                <w:sz w:val="21"/>
                <w:szCs w:val="21"/>
                <w:lang w:val="en-US" w:eastAsia="zh-CN"/>
              </w:rPr>
              <w:t>原人数</w:t>
            </w:r>
            <w:r>
              <w:rPr>
                <w:rFonts w:hint="eastAsia"/>
                <w:sz w:val="21"/>
                <w:szCs w:val="21"/>
              </w:rPr>
              <w:t>60</w:t>
            </w:r>
            <w:r>
              <w:rPr>
                <w:rFonts w:hint="eastAsia"/>
                <w:sz w:val="21"/>
                <w:szCs w:val="21"/>
                <w:lang w:eastAsia="zh-CN"/>
              </w:rPr>
              <w:t>，</w:t>
            </w:r>
            <w:r>
              <w:rPr>
                <w:rFonts w:hint="eastAsia"/>
                <w:sz w:val="21"/>
                <w:szCs w:val="21"/>
                <w:lang w:val="en-US" w:eastAsia="zh-CN"/>
              </w:rPr>
              <w:t>变更后人数</w:t>
            </w:r>
            <w:r>
              <w:rPr>
                <w:rFonts w:hint="eastAsia"/>
                <w:sz w:val="21"/>
                <w:szCs w:val="21"/>
              </w:rPr>
              <w:t xml:space="preserve"> 269人</w:t>
            </w:r>
          </w:p>
          <w:p>
            <w:pPr>
              <w:rPr>
                <w:sz w:val="21"/>
                <w:szCs w:val="21"/>
              </w:rPr>
            </w:pPr>
            <w:r>
              <w:rPr>
                <w:rFonts w:hint="eastAsia"/>
                <w:b/>
                <w:sz w:val="21"/>
                <w:szCs w:val="21"/>
              </w:rPr>
              <w:t>地址变更</w:t>
            </w:r>
            <w:r>
              <w:rPr>
                <w:rFonts w:hint="eastAsia"/>
                <w:sz w:val="21"/>
                <w:szCs w:val="21"/>
              </w:rPr>
              <w:t>：</w:t>
            </w:r>
          </w:p>
          <w:p>
            <w:pPr>
              <w:rPr>
                <w:sz w:val="21"/>
                <w:szCs w:val="21"/>
              </w:rPr>
            </w:pPr>
            <w:r>
              <w:rPr>
                <w:rFonts w:hint="eastAsia"/>
                <w:sz w:val="21"/>
                <w:szCs w:val="21"/>
              </w:rPr>
              <w:t>原经营地址：重庆市渝北区春华大道99号北区6号楼306</w:t>
            </w:r>
          </w:p>
          <w:p>
            <w:pPr>
              <w:rPr>
                <w:rFonts w:ascii="宋体" w:hAnsi="宋体"/>
                <w:b/>
                <w:sz w:val="21"/>
                <w:szCs w:val="21"/>
              </w:rPr>
            </w:pPr>
            <w:r>
              <w:rPr>
                <w:rFonts w:hint="eastAsia"/>
                <w:sz w:val="21"/>
                <w:szCs w:val="21"/>
              </w:rPr>
              <w:t>现经营地址：重庆市渝北区春华大道99号北区6号楼306、705、706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55"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52" w:type="dxa"/>
          </w:tcPr>
          <w:p>
            <w:pPr>
              <w:spacing w:line="260" w:lineRule="exact"/>
              <w:rPr>
                <w:rFonts w:ascii="宋体" w:hAnsi="宋体"/>
                <w:b/>
                <w:sz w:val="21"/>
                <w:szCs w:val="21"/>
              </w:rPr>
            </w:pPr>
            <w:bookmarkStart w:id="26" w:name="专业代码"/>
            <w:r>
              <w:rPr>
                <w:rFonts w:ascii="宋体" w:hAnsi="宋体"/>
                <w:b/>
                <w:sz w:val="21"/>
                <w:szCs w:val="21"/>
              </w:rPr>
              <w:t>Q：33.02.01;</w:t>
            </w:r>
          </w:p>
          <w:p>
            <w:pPr>
              <w:spacing w:line="260" w:lineRule="exact"/>
              <w:rPr>
                <w:rFonts w:ascii="宋体" w:hAnsi="宋体"/>
                <w:b/>
                <w:sz w:val="21"/>
                <w:szCs w:val="21"/>
              </w:rPr>
            </w:pPr>
            <w:r>
              <w:rPr>
                <w:rFonts w:ascii="宋体" w:hAnsi="宋体"/>
                <w:b/>
                <w:sz w:val="21"/>
                <w:szCs w:val="21"/>
              </w:rPr>
              <w:t>35.10.00;35.20.00</w:t>
            </w:r>
          </w:p>
          <w:p>
            <w:pPr>
              <w:spacing w:line="260" w:lineRule="exact"/>
              <w:rPr>
                <w:rFonts w:ascii="宋体" w:hAnsi="宋体"/>
                <w:b/>
                <w:sz w:val="21"/>
                <w:szCs w:val="21"/>
              </w:rPr>
            </w:pPr>
            <w:r>
              <w:rPr>
                <w:rFonts w:ascii="宋体" w:hAnsi="宋体"/>
                <w:b/>
                <w:sz w:val="21"/>
                <w:szCs w:val="21"/>
              </w:rPr>
              <w:t>O：33.02.01;</w:t>
            </w:r>
          </w:p>
          <w:p>
            <w:pPr>
              <w:spacing w:line="260" w:lineRule="exact"/>
              <w:rPr>
                <w:rFonts w:ascii="宋体" w:hAnsi="宋体"/>
                <w:b/>
                <w:sz w:val="21"/>
                <w:szCs w:val="21"/>
              </w:rPr>
            </w:pPr>
            <w:r>
              <w:rPr>
                <w:rFonts w:ascii="宋体" w:hAnsi="宋体"/>
                <w:b/>
                <w:sz w:val="21"/>
                <w:szCs w:val="21"/>
              </w:rPr>
              <w:t>35.10.00;35.20.00</w:t>
            </w:r>
          </w:p>
          <w:p>
            <w:pPr>
              <w:spacing w:line="260" w:lineRule="exact"/>
              <w:rPr>
                <w:rFonts w:ascii="宋体" w:hAnsi="宋体"/>
                <w:b/>
                <w:sz w:val="21"/>
                <w:szCs w:val="21"/>
              </w:rPr>
            </w:pPr>
            <w:r>
              <w:rPr>
                <w:rFonts w:ascii="宋体" w:hAnsi="宋体"/>
                <w:b/>
                <w:sz w:val="21"/>
                <w:szCs w:val="21"/>
              </w:rPr>
              <w:t>E：33.02.01;</w:t>
            </w:r>
          </w:p>
          <w:p>
            <w:pPr>
              <w:spacing w:line="260" w:lineRule="exact"/>
              <w:rPr>
                <w:rFonts w:ascii="宋体" w:hAnsi="宋体"/>
                <w:b/>
                <w:sz w:val="21"/>
                <w:szCs w:val="21"/>
              </w:rPr>
            </w:pPr>
            <w:r>
              <w:rPr>
                <w:rFonts w:ascii="宋体" w:hAnsi="宋体"/>
                <w:b/>
                <w:sz w:val="21"/>
                <w:szCs w:val="21"/>
              </w:rPr>
              <w:t>35.10.00;35.20.00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Q:2022.09.04</w:t>
            </w:r>
          </w:p>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E:2022.09.04</w:t>
            </w:r>
          </w:p>
          <w:p>
            <w:pPr>
              <w:spacing w:line="260" w:lineRule="exact"/>
              <w:rPr>
                <w:rFonts w:hint="default" w:ascii="宋体" w:hAnsi="宋体"/>
                <w:b/>
                <w:sz w:val="21"/>
                <w:szCs w:val="21"/>
                <w:lang w:val="en-US" w:eastAsia="zh-CN"/>
              </w:rPr>
            </w:pPr>
            <w:r>
              <w:rPr>
                <w:rFonts w:hint="eastAsia" w:ascii="宋体" w:hAnsi="宋体"/>
                <w:b/>
                <w:sz w:val="21"/>
                <w:szCs w:val="21"/>
                <w:lang w:val="en-US" w:eastAsia="zh-CN"/>
              </w:rPr>
              <w:t>0:2022.09.04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b/>
                <w:sz w:val="20"/>
              </w:rPr>
            </w:pPr>
          </w:p>
          <w:p>
            <w:pPr>
              <w:spacing w:line="260" w:lineRule="exact"/>
              <w:rPr>
                <w:rFonts w:hint="default" w:ascii="宋体" w:eastAsia="宋体"/>
                <w:b/>
                <w:sz w:val="21"/>
                <w:lang w:val="en-US" w:eastAsia="zh-CN"/>
              </w:rPr>
            </w:pPr>
            <w:r>
              <w:rPr>
                <w:rFonts w:hint="eastAsia"/>
                <w:b/>
                <w:sz w:val="20"/>
              </w:rPr>
              <w:t>2019年08月26日</w:t>
            </w:r>
            <w:r>
              <w:rPr>
                <w:rFonts w:hint="eastAsia"/>
                <w:b/>
                <w:sz w:val="20"/>
                <w:lang w:val="en-US" w:eastAsia="zh-CN"/>
              </w:rPr>
              <w:t>至27日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color w:val="000000" w:themeColor="text1"/>
          <w:sz w:val="21"/>
          <w:szCs w:val="21"/>
          <w14:textFill>
            <w14:solidFill>
              <w14:schemeClr w14:val="tx1"/>
            </w14:solidFill>
          </w14:textFill>
        </w:rPr>
      </w:pPr>
      <w:r>
        <w:rPr>
          <w:rFonts w:ascii="宋体" w:hAnsi="宋体"/>
          <w:b/>
          <w:sz w:val="21"/>
          <w:szCs w:val="21"/>
        </w:rPr>
        <w:t xml:space="preserve">3. </w:t>
      </w:r>
      <w:r>
        <w:rPr>
          <w:rFonts w:hint="eastAsia" w:ascii="宋体" w:hAnsi="宋体"/>
          <w:b/>
          <w:sz w:val="21"/>
          <w:szCs w:val="21"/>
        </w:rPr>
        <w:t>已审</w:t>
      </w:r>
      <w:r>
        <w:rPr>
          <w:rFonts w:hint="eastAsia" w:ascii="宋体" w:hAnsi="宋体"/>
          <w:b/>
          <w:color w:val="000000" w:themeColor="text1"/>
          <w:sz w:val="21"/>
          <w:szCs w:val="21"/>
          <w14:textFill>
            <w14:solidFill>
              <w14:schemeClr w14:val="tx1"/>
            </w14:solidFill>
          </w14:textFill>
        </w:rPr>
        <w:t>核具体的产品</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服务</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型号</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类型</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系列和过程（设计</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生产┄┄）是</w:t>
      </w:r>
    </w:p>
    <w:p>
      <w:pPr>
        <w:spacing w:line="360" w:lineRule="atLeast"/>
        <w:ind w:firstLine="211" w:firstLineChars="1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本次审核新增加范围的产品</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服务抽查了、</w:t>
      </w:r>
      <w:r>
        <w:rPr>
          <w:color w:val="000000" w:themeColor="text1"/>
          <w:sz w:val="20"/>
          <w14:textFill>
            <w14:solidFill>
              <w14:schemeClr w14:val="tx1"/>
            </w14:solidFill>
          </w14:textFill>
        </w:rPr>
        <w:t>劳务派遣</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vAlign w:val="top"/>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ind w:firstLine="472" w:firstLineChars="225"/>
              <w:rPr>
                <w:rFonts w:ascii="Times New Roman"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 w:val="21"/>
                <w:szCs w:val="21"/>
              </w:rPr>
              <w:t>“</w:t>
            </w:r>
            <w:r>
              <w:rPr>
                <w:rFonts w:hint="eastAsia" w:ascii="宋体" w:hAnsi="宋体" w:cs="宋体"/>
                <w:sz w:val="21"/>
                <w:szCs w:val="21"/>
              </w:rPr>
              <w:t>市场第一、顾客满意</w:t>
            </w:r>
            <w:r>
              <w:rPr>
                <w:rFonts w:hint="eastAsia" w:hAnsi="宋体" w:cs="宋体"/>
                <w:sz w:val="21"/>
                <w:szCs w:val="21"/>
              </w:rPr>
              <w:t>、</w:t>
            </w:r>
            <w:r>
              <w:rPr>
                <w:rFonts w:hint="eastAsia" w:ascii="宋体" w:hAnsi="宋体" w:cs="宋体"/>
                <w:sz w:val="21"/>
                <w:szCs w:val="21"/>
              </w:rPr>
              <w:t>保护环境、预防为主</w:t>
            </w:r>
            <w:r>
              <w:rPr>
                <w:rFonts w:hint="eastAsia" w:hAnsi="宋体" w:cs="宋体"/>
                <w:sz w:val="21"/>
                <w:szCs w:val="21"/>
              </w:rPr>
              <w:t>、</w:t>
            </w:r>
            <w:r>
              <w:rPr>
                <w:rFonts w:hint="eastAsia" w:ascii="宋体" w:hAnsi="宋体" w:cs="宋体"/>
                <w:sz w:val="21"/>
                <w:szCs w:val="21"/>
              </w:rPr>
              <w:t>全员安全、持续改进</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vAlign w:val="top"/>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eastAsia="宋体" w:cs="Times New Roman"/>
                <w:color w:val="000000" w:themeColor="text1"/>
                <w:kern w:val="2"/>
                <w:sz w:val="21"/>
                <w:szCs w:val="21"/>
                <w:lang w:val="en-US" w:eastAsia="zh-CN" w:bidi="ar-SA"/>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14:textFill>
                  <w14:solidFill>
                    <w14:schemeClr w14:val="tx1"/>
                  </w14:solidFill>
                </w14:textFill>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00" w:lineRule="exact"/>
              <w:ind w:left="201" w:hanging="211" w:hangingChars="100"/>
              <w:rPr>
                <w:rFonts w:ascii="宋体" w:hAnsi="宋体"/>
                <w:b/>
                <w:color w:val="000000" w:themeColor="text1"/>
                <w:sz w:val="21"/>
                <w:szCs w:val="21"/>
                <w:u w:val="single"/>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质量管理体系过程有：</w:t>
            </w:r>
            <w:r>
              <w:rPr>
                <w:rFonts w:hint="eastAsia" w:ascii="宋体" w:hAnsi="宋体"/>
                <w:b/>
                <w:color w:val="000000" w:themeColor="text1"/>
                <w:sz w:val="21"/>
                <w:szCs w:val="21"/>
                <w:lang w:val="en-US" w:eastAsia="zh-CN"/>
                <w14:textFill>
                  <w14:solidFill>
                    <w14:schemeClr w14:val="tx1"/>
                  </w14:solidFill>
                </w14:textFill>
              </w:rPr>
              <w:t>软件开发、</w:t>
            </w:r>
            <w:r>
              <w:rPr>
                <w:rFonts w:hint="eastAsia" w:ascii="宋体" w:hAnsi="宋体"/>
                <w:b/>
                <w:color w:val="000000" w:themeColor="text1"/>
                <w:sz w:val="21"/>
                <w:szCs w:val="21"/>
                <w14:textFill>
                  <w14:solidFill>
                    <w14:schemeClr w14:val="tx1"/>
                  </w14:solidFill>
                </w14:textFill>
              </w:rPr>
              <w:t>会议及展览</w:t>
            </w:r>
            <w:r>
              <w:rPr>
                <w:rFonts w:hint="eastAsia" w:ascii="宋体" w:hAnsi="宋体"/>
                <w:b/>
                <w:color w:val="000000" w:themeColor="text1"/>
                <w:sz w:val="21"/>
                <w:szCs w:val="21"/>
                <w:lang w:val="en-US" w:eastAsia="zh-CN"/>
                <w14:textFill>
                  <w14:solidFill>
                    <w14:schemeClr w14:val="tx1"/>
                  </w14:solidFill>
                </w14:textFill>
              </w:rPr>
              <w:t>策划、劳务派遣、</w:t>
            </w:r>
            <w:r>
              <w:rPr>
                <w:rFonts w:hint="eastAsia" w:ascii="宋体" w:hAnsi="宋体"/>
                <w:b/>
                <w:color w:val="000000" w:themeColor="text1"/>
                <w:sz w:val="21"/>
                <w:szCs w:val="21"/>
                <w14:textFill>
                  <w14:solidFill>
                    <w14:schemeClr w14:val="tx1"/>
                  </w14:solidFill>
                </w14:textFill>
              </w:rPr>
              <w:t>合同评审管理过程。</w:t>
            </w:r>
          </w:p>
          <w:p>
            <w:pPr>
              <w:tabs>
                <w:tab w:val="left" w:pos="540"/>
              </w:tabs>
              <w:spacing w:line="300" w:lineRule="exact"/>
              <w:ind w:left="201" w:hanging="211" w:hangingChars="100"/>
              <w:rPr>
                <w:rFonts w:ascii="宋体" w:hAnsi="宋体"/>
                <w:b/>
                <w:color w:val="000000" w:themeColor="text1"/>
                <w:sz w:val="21"/>
                <w:szCs w:val="21"/>
                <w:u w:val="single"/>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其中关键过程有：</w:t>
            </w:r>
            <w:r>
              <w:rPr>
                <w:rFonts w:hint="eastAsia" w:ascii="宋体" w:hAnsi="宋体"/>
                <w:b/>
                <w:color w:val="000000" w:themeColor="text1"/>
                <w:sz w:val="21"/>
                <w:szCs w:val="21"/>
                <w:lang w:val="en-US" w:eastAsia="zh-CN"/>
                <w14:textFill>
                  <w14:solidFill>
                    <w14:schemeClr w14:val="tx1"/>
                  </w14:solidFill>
                </w14:textFill>
              </w:rPr>
              <w:t>软件开发过程、会议展览、劳务派遣服务过程</w:t>
            </w:r>
            <w:r>
              <w:rPr>
                <w:rFonts w:hint="eastAsia" w:ascii="宋体" w:hAnsi="宋体"/>
                <w:b/>
                <w:color w:val="000000" w:themeColor="text1"/>
                <w:sz w:val="21"/>
                <w:szCs w:val="21"/>
                <w14:textFill>
                  <w14:solidFill>
                    <w14:schemeClr w14:val="tx1"/>
                  </w14:solidFill>
                </w14:textFill>
              </w:rPr>
              <w:t>。</w:t>
            </w:r>
          </w:p>
          <w:p>
            <w:pPr>
              <w:tabs>
                <w:tab w:val="left" w:pos="540"/>
              </w:tabs>
              <w:spacing w:line="300" w:lineRule="exact"/>
              <w:ind w:left="201" w:hanging="211" w:hangingChars="100"/>
              <w:rPr>
                <w:rFonts w:ascii="宋体" w:hAnsi="宋体"/>
                <w:b/>
                <w:color w:val="000000" w:themeColor="text1"/>
                <w:sz w:val="21"/>
                <w:szCs w:val="21"/>
                <w:u w:val="single"/>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需确认/特殊过程：无</w:t>
            </w:r>
            <w:r>
              <w:rPr>
                <w:rFonts w:hint="eastAsia" w:ascii="宋体" w:hAnsi="宋体"/>
                <w:b/>
                <w:color w:val="000000" w:themeColor="text1"/>
                <w:sz w:val="21"/>
                <w:szCs w:val="21"/>
                <w14:textFill>
                  <w14:solidFill>
                    <w14:schemeClr w14:val="tx1"/>
                  </w14:solidFill>
                </w14:textFill>
              </w:rPr>
              <w:t xml:space="preserve">  </w:t>
            </w:r>
          </w:p>
          <w:p>
            <w:pPr>
              <w:tabs>
                <w:tab w:val="left" w:pos="540"/>
              </w:tabs>
              <w:spacing w:line="300" w:lineRule="exact"/>
              <w:ind w:left="211" w:leftChars="0" w:hanging="211" w:hangingChars="100"/>
              <w:rPr>
                <w:rFonts w:ascii="宋体" w:hAnsi="宋体" w:eastAsia="宋体" w:cs="Times New Roman"/>
                <w:b/>
                <w:color w:val="000000" w:themeColor="text1"/>
                <w:kern w:val="2"/>
                <w:sz w:val="21"/>
                <w:szCs w:val="21"/>
                <w:lang w:val="en-US" w:eastAsia="zh-CN" w:bidi="ar-SA"/>
              </w:rPr>
            </w:pPr>
            <w:r>
              <w:rPr>
                <w:b/>
                <w:color w:val="000000" w:themeColor="text1"/>
                <w:sz w:val="21"/>
                <w:szCs w:val="21"/>
                <w14:textFill>
                  <w14:solidFill>
                    <w14:schemeClr w14:val="tx1"/>
                  </w14:solidFill>
                </w14:textFill>
              </w:rPr>
              <w:pict>
                <v:shape id="_x0000_s2053" o:spid="_x0000_s2053" o:spt="32" type="#_x0000_t32" style="position:absolute;left:0pt;margin-left:157.9pt;margin-top:12.75pt;height:0pt;width:261.75pt;z-index:251689984;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14:textFill>
                  <w14:solidFill>
                    <w14:schemeClr w14:val="tx1"/>
                  </w14:solidFill>
                </w14:textFill>
              </w:rPr>
              <w:pict>
                <v:shape id="_x0000_s2054" o:spid="_x0000_s2054" o:spt="32" type="#_x0000_t32" style="position:absolute;left:0pt;margin-left:55.15pt;margin-top:12.75pt;height:0pt;width:42pt;z-index:2516889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14:textFill>
                  <w14:solidFill>
                    <w14:schemeClr w14:val="tx1"/>
                  </w14:solidFill>
                </w14:textFill>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1"/>
                <w:szCs w:val="21"/>
                <w:lang w:val="en-US" w:eastAsia="zh-CN" w:bidi="ar-SA"/>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pStyle w:val="14"/>
              <w:numPr>
                <w:ilvl w:val="0"/>
                <w:numId w:val="1"/>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4"/>
              <w:numPr>
                <w:ilvl w:val="0"/>
                <w:numId w:val="1"/>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525" w:firstLineChars="250"/>
              <w:rPr>
                <w:color w:val="auto"/>
                <w:sz w:val="21"/>
                <w:szCs w:val="21"/>
              </w:rPr>
            </w:pPr>
            <w:r>
              <w:rPr>
                <w:rFonts w:hint="eastAsia"/>
                <w:color w:val="auto"/>
                <w:sz w:val="21"/>
                <w:szCs w:val="21"/>
              </w:rPr>
              <w:t>质量、环境、职业健康安全目标：</w:t>
            </w:r>
          </w:p>
          <w:p>
            <w:pPr>
              <w:numPr>
                <w:ilvl w:val="0"/>
                <w:numId w:val="2"/>
              </w:numPr>
              <w:ind w:firstLine="525" w:firstLineChars="250"/>
              <w:rPr>
                <w:color w:val="auto"/>
                <w:sz w:val="21"/>
                <w:szCs w:val="21"/>
              </w:rPr>
            </w:pPr>
            <w:r>
              <w:rPr>
                <w:rFonts w:hint="eastAsia"/>
                <w:color w:val="auto"/>
                <w:sz w:val="21"/>
                <w:szCs w:val="21"/>
              </w:rPr>
              <w:t>客户满意度≥90分；</w:t>
            </w:r>
          </w:p>
          <w:p>
            <w:pPr>
              <w:numPr>
                <w:ilvl w:val="0"/>
                <w:numId w:val="2"/>
              </w:numPr>
              <w:ind w:firstLine="525" w:firstLineChars="250"/>
              <w:rPr>
                <w:rFonts w:ascii="宋体" w:hAnsi="宋体" w:cs="宋体"/>
                <w:color w:val="auto"/>
                <w:sz w:val="21"/>
                <w:szCs w:val="21"/>
              </w:rPr>
            </w:pPr>
            <w:r>
              <w:rPr>
                <w:rFonts w:hint="eastAsia" w:ascii="宋体" w:hAnsi="宋体" w:cs="宋体"/>
                <w:color w:val="auto"/>
                <w:kern w:val="0"/>
                <w:sz w:val="21"/>
                <w:szCs w:val="21"/>
              </w:rPr>
              <w:t>死亡事故发生率为0</w:t>
            </w:r>
            <w:r>
              <w:rPr>
                <w:rFonts w:hint="eastAsia" w:ascii="宋体" w:hAnsi="宋体" w:cs="宋体"/>
                <w:color w:val="auto"/>
                <w:sz w:val="21"/>
                <w:szCs w:val="21"/>
              </w:rPr>
              <w:t>；</w:t>
            </w:r>
          </w:p>
          <w:p>
            <w:pPr>
              <w:numPr>
                <w:ilvl w:val="0"/>
                <w:numId w:val="2"/>
              </w:numPr>
              <w:ind w:firstLine="525" w:firstLineChars="250"/>
              <w:rPr>
                <w:rFonts w:ascii="宋体" w:hAnsi="宋体" w:cs="宋体"/>
                <w:color w:val="auto"/>
                <w:sz w:val="21"/>
                <w:szCs w:val="21"/>
              </w:rPr>
            </w:pPr>
            <w:r>
              <w:rPr>
                <w:rFonts w:hint="eastAsia" w:ascii="宋体" w:hAnsi="宋体" w:cs="宋体"/>
                <w:color w:val="auto"/>
                <w:kern w:val="0"/>
                <w:sz w:val="21"/>
                <w:szCs w:val="21"/>
              </w:rPr>
              <w:t>对固体废弃物100%处理</w:t>
            </w:r>
            <w:r>
              <w:rPr>
                <w:rFonts w:hint="eastAsia" w:ascii="宋体" w:hAnsi="宋体" w:cs="宋体"/>
                <w:color w:val="auto"/>
                <w:sz w:val="21"/>
                <w:szCs w:val="21"/>
              </w:rPr>
              <w:t>；</w:t>
            </w:r>
          </w:p>
          <w:p>
            <w:pPr>
              <w:numPr>
                <w:ilvl w:val="0"/>
                <w:numId w:val="2"/>
              </w:numPr>
              <w:ind w:firstLine="525" w:firstLineChars="250"/>
              <w:rPr>
                <w:rFonts w:ascii="宋体" w:hAnsi="宋体" w:eastAsia="宋体" w:cs="Times New Roman"/>
                <w:b/>
                <w:color w:val="000000" w:themeColor="text1"/>
                <w:kern w:val="2"/>
                <w:sz w:val="21"/>
                <w:szCs w:val="21"/>
                <w:lang w:val="en-US" w:eastAsia="zh-CN" w:bidi="ar-SA"/>
              </w:rPr>
            </w:pPr>
            <w:r>
              <w:rPr>
                <w:rFonts w:hint="eastAsia" w:ascii="宋体" w:hAnsi="宋体" w:cs="宋体"/>
                <w:color w:val="auto"/>
                <w:kern w:val="0"/>
                <w:sz w:val="21"/>
                <w:szCs w:val="21"/>
              </w:rPr>
              <w:t>火灾事故发生率为0</w:t>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color w:val="auto"/>
                <w:sz w:val="21"/>
                <w:szCs w:val="21"/>
              </w:rPr>
              <w:t>公司按照申请认证的标准要求，建立并形成了文件化的环境和职业健康安全管理体系，体系文件对管理体系各过程进行了识别确定、明确了各要素间的相互关系及其管控要求。因职业健康安全管理体系换版，认证范围、办公地址、组织机构变更</w:t>
            </w:r>
            <w:r>
              <w:rPr>
                <w:rFonts w:hint="eastAsia" w:ascii="宋体" w:hAnsi="宋体" w:cs="宋体"/>
                <w:color w:val="auto"/>
                <w:sz w:val="21"/>
                <w:szCs w:val="21"/>
                <w:lang w:eastAsia="zh-CN"/>
              </w:rPr>
              <w:t>。</w:t>
            </w:r>
            <w:r>
              <w:rPr>
                <w:rFonts w:hint="eastAsia" w:ascii="宋体" w:hAnsi="宋体" w:cs="宋体"/>
                <w:color w:val="auto"/>
                <w:sz w:val="21"/>
                <w:szCs w:val="21"/>
              </w:rPr>
              <w:t>公司行政部组织人员对质量、环境、职业健康安全管理手册和程序文件进行换版工作，</w:t>
            </w:r>
            <w:r>
              <w:rPr>
                <w:rFonts w:hint="eastAsia" w:ascii="宋体" w:hAnsi="宋体" w:cs="宋体"/>
                <w:color w:val="auto"/>
                <w:sz w:val="21"/>
                <w:szCs w:val="21"/>
                <w:lang w:val="en-US" w:eastAsia="zh-CN"/>
              </w:rPr>
              <w:t>由A/0版换为B/0版，</w:t>
            </w:r>
            <w:r>
              <w:rPr>
                <w:rFonts w:hint="eastAsia" w:ascii="宋体" w:hAnsi="宋体" w:cs="宋体"/>
                <w:color w:val="auto"/>
                <w:sz w:val="21"/>
                <w:szCs w:val="21"/>
              </w:rPr>
              <w:t>经总经理批准，</w:t>
            </w:r>
            <w:r>
              <w:rPr>
                <w:rFonts w:hint="eastAsia" w:ascii="宋体" w:hAnsi="宋体" w:cs="宋体"/>
                <w:color w:val="auto"/>
                <w:sz w:val="21"/>
                <w:szCs w:val="21"/>
                <w:lang w:val="en-US" w:eastAsia="zh-CN"/>
              </w:rPr>
              <w:t>新的</w:t>
            </w:r>
            <w:r>
              <w:rPr>
                <w:rFonts w:hint="eastAsia" w:ascii="宋体" w:hAnsi="宋体" w:cs="宋体"/>
                <w:color w:val="auto"/>
                <w:sz w:val="21"/>
                <w:szCs w:val="21"/>
              </w:rPr>
              <w:t>管理手册和程序文件于2020年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cs="宋体"/>
                <w:color w:val="auto"/>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rPr>
              <w:t>人力资源管理</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sz w:val="21"/>
                <w:szCs w:val="21"/>
                <w:highlight w:val="none"/>
              </w:rPr>
              <w:t>办公</w:t>
            </w:r>
            <w:r>
              <w:rPr>
                <w:rFonts w:hint="eastAsia" w:ascii="宋体" w:hAnsi="宋体"/>
                <w:color w:val="000000" w:themeColor="text1"/>
                <w:sz w:val="21"/>
                <w:szCs w:val="21"/>
                <w:highlight w:val="none"/>
                <w14:textFill>
                  <w14:solidFill>
                    <w14:schemeClr w14:val="tx1"/>
                  </w14:solidFill>
                </w14:textFill>
              </w:rPr>
              <w:t>场所面积</w:t>
            </w:r>
            <w:r>
              <w:rPr>
                <w:rFonts w:hint="eastAsia" w:ascii="宋体" w:hAnsi="宋体"/>
                <w:color w:val="000000" w:themeColor="text1"/>
                <w:sz w:val="21"/>
                <w:szCs w:val="21"/>
                <w:highlight w:val="none"/>
                <w:lang w:val="en-US" w:eastAsia="zh-CN"/>
                <w14:textFill>
                  <w14:solidFill>
                    <w14:schemeClr w14:val="tx1"/>
                  </w14:solidFill>
                </w14:textFill>
              </w:rPr>
              <w:t>1500</w:t>
            </w:r>
            <w:r>
              <w:rPr>
                <w:rFonts w:hint="eastAsia" w:ascii="宋体" w:hAnsi="宋体"/>
                <w:color w:val="000000" w:themeColor="text1"/>
                <w:sz w:val="21"/>
                <w:szCs w:val="21"/>
                <w:highlight w:val="none"/>
                <w14:textFill>
                  <w14:solidFill>
                    <w14:schemeClr w14:val="tx1"/>
                  </w14:solidFill>
                </w14:textFill>
              </w:rPr>
              <w:t>平方左右，</w:t>
            </w:r>
            <w:r>
              <w:rPr>
                <w:rFonts w:hint="eastAsia" w:ascii="宋体" w:hAnsi="宋体" w:cs="宋体"/>
                <w:color w:val="000000" w:themeColor="text1"/>
                <w:sz w:val="21"/>
                <w:szCs w:val="21"/>
                <w:highlight w:val="none"/>
                <w14:textFill>
                  <w14:solidFill>
                    <w14:schemeClr w14:val="tx1"/>
                  </w14:solidFill>
                </w14:textFill>
              </w:rPr>
              <w:t>主要为</w:t>
            </w:r>
            <w:r>
              <w:rPr>
                <w:rFonts w:hint="eastAsia" w:ascii="宋体" w:hAnsi="宋体" w:cs="宋体"/>
                <w:color w:val="000000" w:themeColor="text1"/>
                <w:sz w:val="21"/>
                <w:szCs w:val="21"/>
                <w:highlight w:val="none"/>
                <w:lang w:eastAsia="zh-CN"/>
                <w14:textFill>
                  <w14:solidFill>
                    <w14:schemeClr w14:val="tx1"/>
                  </w14:solidFill>
                </w14:textFill>
              </w:rPr>
              <w:t>软件</w:t>
            </w:r>
            <w:r>
              <w:rPr>
                <w:rFonts w:hint="eastAsia" w:ascii="宋体" w:hAnsi="宋体" w:cs="宋体"/>
                <w:color w:val="000000" w:themeColor="text1"/>
                <w:sz w:val="21"/>
                <w:szCs w:val="21"/>
                <w:highlight w:val="none"/>
                <w14:textFill>
                  <w14:solidFill>
                    <w14:schemeClr w14:val="tx1"/>
                  </w14:solidFill>
                </w14:textFill>
              </w:rPr>
              <w:t>研发、市场和</w:t>
            </w:r>
            <w:r>
              <w:rPr>
                <w:rFonts w:hint="eastAsia" w:ascii="宋体" w:hAnsi="宋体" w:cs="宋体"/>
                <w:color w:val="000000" w:themeColor="text1"/>
                <w:sz w:val="21"/>
                <w:szCs w:val="21"/>
                <w:highlight w:val="none"/>
                <w:lang w:val="en-US" w:eastAsia="zh-CN"/>
                <w14:textFill>
                  <w14:solidFill>
                    <w14:schemeClr w14:val="tx1"/>
                  </w14:solidFill>
                </w14:textFill>
              </w:rPr>
              <w:t>行政部</w:t>
            </w:r>
            <w:r>
              <w:rPr>
                <w:rFonts w:hint="eastAsia" w:ascii="宋体" w:hAnsi="宋体" w:cs="宋体"/>
                <w:color w:val="000000" w:themeColor="text1"/>
                <w:sz w:val="21"/>
                <w:szCs w:val="21"/>
                <w:highlight w:val="none"/>
                <w14:textFill>
                  <w14:solidFill>
                    <w14:schemeClr w14:val="tx1"/>
                  </w14:solidFill>
                </w14:textFill>
              </w:rPr>
              <w:t>门使用</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主</w:t>
            </w:r>
            <w:r>
              <w:rPr>
                <w:rFonts w:hint="eastAsia" w:ascii="宋体" w:hAnsi="宋体" w:cs="宋体"/>
                <w:sz w:val="21"/>
                <w:szCs w:val="21"/>
                <w:highlight w:val="none"/>
              </w:rPr>
              <w:t>要生产设备包括电脑</w:t>
            </w:r>
            <w:r>
              <w:rPr>
                <w:rFonts w:hint="eastAsia" w:ascii="宋体" w:hAnsi="宋体" w:cs="宋体"/>
                <w:sz w:val="21"/>
                <w:szCs w:val="21"/>
                <w:highlight w:val="none"/>
                <w:lang w:val="en-US" w:eastAsia="zh-CN"/>
              </w:rPr>
              <w:t>和</w:t>
            </w:r>
            <w:r>
              <w:rPr>
                <w:rFonts w:hint="eastAsia" w:ascii="宋体" w:hAnsi="宋体" w:cs="宋体"/>
                <w:sz w:val="21"/>
                <w:szCs w:val="21"/>
                <w:highlight w:val="none"/>
              </w:rPr>
              <w:t>云服务器、打印机、传真机</w:t>
            </w:r>
            <w:r>
              <w:rPr>
                <w:rFonts w:hint="eastAsia" w:ascii="宋体" w:hAnsi="宋体"/>
                <w:sz w:val="21"/>
                <w:szCs w:val="21"/>
                <w:highlight w:val="none"/>
              </w:rPr>
              <w:t>等设备，可以满足</w:t>
            </w:r>
            <w:r>
              <w:rPr>
                <w:sz w:val="20"/>
              </w:rPr>
              <w:t>计算机网络科技领域内的技术开发，会议及展览服务，劳务派遣</w:t>
            </w:r>
            <w:r>
              <w:rPr>
                <w:rFonts w:hint="eastAsia" w:ascii="宋体" w:hAnsi="宋体"/>
                <w:sz w:val="21"/>
                <w:szCs w:val="21"/>
                <w:highlight w:val="none"/>
              </w:rPr>
              <w:t>的需要</w:t>
            </w:r>
            <w:r>
              <w:rPr>
                <w:rFonts w:hint="eastAsia" w:ascii="宋体" w:hAnsi="宋体" w:cs="宋体"/>
                <w:sz w:val="21"/>
                <w:szCs w:val="21"/>
                <w:highlight w:val="none"/>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w:t>
            </w:r>
            <w:r>
              <w:rPr>
                <w:rFonts w:hint="eastAsia" w:ascii="宋体" w:hAnsi="宋体" w:cs="宋体"/>
                <w:sz w:val="21"/>
                <w:szCs w:val="21"/>
                <w:lang w:val="en-US" w:eastAsia="zh-CN"/>
              </w:rPr>
              <w:t>服务</w:t>
            </w:r>
            <w:r>
              <w:rPr>
                <w:rFonts w:hint="eastAsia" w:ascii="宋体" w:hAnsi="宋体" w:cs="宋体"/>
                <w:sz w:val="21"/>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信息技术部均按策划的要求配置了相应的检测软件，主要为测试软件及测试平台，包括：系统：CentOS操作系统，macos操作系统和windows操作系统，编辑器：Editplus，浏览器：谷歌及火狐浏览器，辅助工具：浏览器自带的网页审查工具；测试软件：Jmeter等，均采用自己确认的方式进行控制。</w:t>
            </w:r>
          </w:p>
          <w:p>
            <w:pPr>
              <w:spacing w:line="24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会议展览服务主要针对在会场的布置情况进行监测，主要依据客户的要求进行人为的评判，不需要使用到硬件的监视测量设备。</w:t>
            </w:r>
          </w:p>
          <w:p>
            <w:pPr>
              <w:spacing w:line="240" w:lineRule="exact"/>
              <w:rPr>
                <w:rFonts w:ascii="宋体" w:hAnsi="宋体" w:eastAsia="宋体" w:cs="Times New Roman"/>
                <w:b/>
                <w:color w:val="000000" w:themeColor="text1"/>
                <w:kern w:val="2"/>
                <w:sz w:val="21"/>
                <w:szCs w:val="21"/>
                <w:lang w:val="en-US" w:eastAsia="zh-CN" w:bidi="ar-SA"/>
              </w:rPr>
            </w:pPr>
            <w:r>
              <w:rPr>
                <w:rFonts w:hint="eastAsia" w:ascii="宋体" w:hAnsi="宋体"/>
                <w:sz w:val="21"/>
                <w:szCs w:val="21"/>
                <w:highlight w:val="none"/>
                <w:lang w:val="en-US" w:eastAsia="zh-CN"/>
              </w:rPr>
              <w:t>劳务派遣服务：因组织的经营业务特性，其对服务质量监控采取人为检查和考评的方式进行，暂不涉及检测设备。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eastAsia="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w:t>
            </w:r>
            <w:r>
              <w:rPr>
                <w:rFonts w:hint="eastAsia" w:ascii="宋体" w:hAnsi="宋体" w:eastAsia="宋体" w:cs="宋体"/>
                <w:color w:val="000000"/>
                <w:sz w:val="21"/>
                <w:szCs w:val="21"/>
              </w:rPr>
              <w:t>收集的知识）。</w:t>
            </w:r>
          </w:p>
          <w:p>
            <w:pPr>
              <w:spacing w:line="400" w:lineRule="exact"/>
              <w:ind w:firstLine="315" w:firstLineChars="150"/>
              <w:rPr>
                <w:rFonts w:ascii="宋体" w:hAnsi="宋体" w:eastAsia="宋体" w:cs="Times New Roman"/>
                <w:b/>
                <w:color w:val="000000" w:themeColor="text1"/>
                <w:kern w:val="2"/>
                <w:sz w:val="21"/>
                <w:szCs w:val="21"/>
                <w:lang w:val="en-US" w:eastAsia="zh-CN" w:bidi="ar-SA"/>
              </w:rPr>
            </w:pPr>
            <w:r>
              <w:rPr>
                <w:rFonts w:hint="eastAsia" w:ascii="宋体" w:hAnsi="宋体" w:eastAsia="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vAlign w:val="top"/>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 w:val="2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Times New Roman" w:hAnsi="Times New Roman" w:eastAsia="宋体" w:cs="Times New Roman"/>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ind w:firstLine="207" w:firstLineChars="98"/>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组织重要环境因素为固废排放和潜在火灾，需要应对的风险和机遇相关的过程为</w:t>
            </w:r>
            <w:r>
              <w:rPr>
                <w:rFonts w:hint="eastAsia" w:asciiTheme="minorEastAsia" w:hAnsiTheme="minorEastAsia" w:eastAsiaTheme="minorEastAsia"/>
                <w:bCs/>
                <w:iCs/>
                <w:sz w:val="21"/>
                <w:szCs w:val="21"/>
                <w:lang w:val="en-US" w:eastAsia="zh-CN"/>
              </w:rPr>
              <w:t>软件研发、服务方案设计</w:t>
            </w:r>
            <w:r>
              <w:rPr>
                <w:rFonts w:hint="eastAsia" w:asciiTheme="minorEastAsia" w:hAnsiTheme="minorEastAsia" w:eastAsiaTheme="minorEastAsia"/>
                <w:bCs/>
                <w:iCs/>
                <w:sz w:val="21"/>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10. 对特种设备的维护; </w:t>
            </w:r>
            <w:r>
              <w:rPr>
                <w:rFonts w:hint="eastAsia"/>
                <w:b/>
                <w:sz w:val="21"/>
                <w:szCs w:val="21"/>
              </w:rPr>
              <w:t>（适用时）</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w:t>
            </w:r>
            <w:r>
              <w:rPr>
                <w:rFonts w:hint="eastAsia" w:ascii="宋体" w:hAnsi="宋体" w:cs="宋体"/>
                <w:color w:val="000000" w:themeColor="text1"/>
                <w:sz w:val="21"/>
                <w:szCs w:val="21"/>
                <w14:textFill>
                  <w14:solidFill>
                    <w14:schemeClr w14:val="tx1"/>
                  </w14:solidFill>
                </w14:textFill>
              </w:rPr>
              <w:t>的汇总统计、描述性统计等方法对目标进行了测量，总体已达到或超过了规定的目标值。</w:t>
            </w:r>
            <w:r>
              <w:rPr>
                <w:rFonts w:hint="eastAsia" w:ascii="宋体" w:hAnsi="宋体" w:cs="宋体"/>
                <w:color w:val="000000" w:themeColor="text1"/>
                <w:sz w:val="21"/>
                <w:szCs w:val="21"/>
                <w:highlight w:val="none"/>
                <w14:textFill>
                  <w14:solidFill>
                    <w14:schemeClr w14:val="tx1"/>
                  </w14:solidFill>
                </w14:textFill>
              </w:rPr>
              <w:t>通过20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年1-</w:t>
            </w: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cs="宋体"/>
                <w:color w:val="000000" w:themeColor="text1"/>
                <w:sz w:val="21"/>
                <w:szCs w:val="21"/>
                <w:highlight w:val="none"/>
                <w14:textFill>
                  <w14:solidFill>
                    <w14:schemeClr w14:val="tx1"/>
                  </w14:solidFill>
                </w14:textFill>
              </w:rPr>
              <w:t>月目标</w:t>
            </w:r>
            <w:r>
              <w:rPr>
                <w:rFonts w:hint="eastAsia" w:ascii="宋体" w:hAnsi="宋体" w:cs="宋体"/>
                <w:color w:val="000000"/>
                <w:sz w:val="21"/>
                <w:szCs w:val="21"/>
                <w:highlight w:val="none"/>
              </w:rPr>
              <w:t>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2.顾客满意</w:t>
            </w:r>
          </w:p>
          <w:p>
            <w:pPr>
              <w:spacing w:line="240" w:lineRule="exact"/>
              <w:ind w:left="120" w:leftChars="50"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公司建立了顾客满意度监视和测量控</w:t>
            </w:r>
            <w:r>
              <w:rPr>
                <w:rFonts w:hint="eastAsia" w:ascii="宋体" w:hAnsi="宋体" w:cs="宋体"/>
                <w:color w:val="000000" w:themeColor="text1"/>
                <w:sz w:val="21"/>
                <w:szCs w:val="21"/>
                <w14:textFill>
                  <w14:solidFill>
                    <w14:schemeClr w14:val="tx1"/>
                  </w14:solidFill>
                </w14:textFill>
              </w:rPr>
              <w:t>制程序，对顾客投诉处理及顾客满意度评价做了明确的规定，并按规</w:t>
            </w:r>
            <w:r>
              <w:rPr>
                <w:rFonts w:hint="eastAsia" w:ascii="宋体" w:hAnsi="宋体" w:cs="宋体"/>
                <w:color w:val="000000" w:themeColor="text1"/>
                <w:sz w:val="21"/>
                <w:szCs w:val="21"/>
                <w:highlight w:val="none"/>
                <w14:textFill>
                  <w14:solidFill>
                    <w14:schemeClr w14:val="tx1"/>
                  </w14:solidFill>
                </w14:textFill>
              </w:rPr>
              <w:t>定对顾客反馈及时处理，但在顾客反馈信息的利用上不够，需要改善。近年来未发生重大顾客投诉和产品质量事故。顾客满意度调查按规定实施，20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月实施，满意度评价9</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tabs>
                <w:tab w:val="right" w:pos="9332"/>
              </w:tabs>
              <w:spacing w:line="440" w:lineRule="exact"/>
              <w:rPr>
                <w:rFonts w:ascii="Times New Roman" w:hAnsi="Times New Roman" w:eastAsia="宋体" w:cs="Times New Roman"/>
                <w:b/>
                <w:color w:val="FF0000"/>
                <w:kern w:val="2"/>
                <w:sz w:val="21"/>
                <w:szCs w:val="21"/>
                <w:lang w:val="en-US" w:eastAsia="zh-CN" w:bidi="ar-SA"/>
              </w:rPr>
            </w:pPr>
            <w:r>
              <w:rPr>
                <w:rFonts w:hint="eastAsia" w:ascii="宋体" w:hAnsi="宋体"/>
                <w:sz w:val="21"/>
                <w:szCs w:val="21"/>
              </w:rPr>
              <w:t>建立有《内部审核控制程序》，规定了内审频次一年一次，内审时间：</w:t>
            </w:r>
            <w:r>
              <w:rPr>
                <w:rFonts w:hint="eastAsia" w:ascii="宋体" w:hAnsi="宋体"/>
                <w:sz w:val="21"/>
                <w:szCs w:val="21"/>
                <w:lang w:val="en-US" w:eastAsia="zh-CN"/>
              </w:rPr>
              <w:t>2020</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20</w:t>
            </w:r>
            <w:r>
              <w:rPr>
                <w:rFonts w:hint="eastAsia" w:ascii="宋体" w:hAnsi="宋体"/>
                <w:sz w:val="21"/>
                <w:szCs w:val="21"/>
              </w:rPr>
              <w:t>日，拟定了审核实施表，明确了内审范围，内审人员经培训合格上岗，能力满足要求，未出现审核本部门情况，内审不符合项1项，涉及行政部</w:t>
            </w:r>
            <w:r>
              <w:rPr>
                <w:rFonts w:hint="eastAsia" w:ascii="宋体" w:hAnsi="宋体"/>
                <w:sz w:val="21"/>
                <w:szCs w:val="21"/>
                <w:lang w:val="en-US" w:eastAsia="zh-CN"/>
              </w:rPr>
              <w:t>QES7</w:t>
            </w:r>
            <w:r>
              <w:rPr>
                <w:rFonts w:hint="eastAsia" w:ascii="宋体" w:hAnsi="宋体"/>
                <w:sz w:val="21"/>
                <w:szCs w:val="21"/>
              </w:rPr>
              <w:t>.2条款查看组织于2020-6-5培训主题为“环境因素、危险源识别”的培训考核表，有参加培训人员签字，但未对培训的有效性进行评价。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管理评审频次为一年一次、本次管理评审于</w:t>
            </w:r>
            <w:r>
              <w:rPr>
                <w:rFonts w:hint="eastAsia" w:ascii="宋体" w:hAnsi="宋体"/>
                <w:color w:val="000000" w:themeColor="text1"/>
                <w:sz w:val="21"/>
                <w:szCs w:val="21"/>
              </w:rPr>
              <w:t>2</w:t>
            </w:r>
            <w:r>
              <w:rPr>
                <w:rFonts w:hint="eastAsia" w:ascii="宋体" w:hAnsi="宋体"/>
                <w:color w:val="000000" w:themeColor="text1"/>
                <w:sz w:val="21"/>
                <w:szCs w:val="21"/>
                <w:lang w:val="en-US" w:eastAsia="zh-CN"/>
              </w:rPr>
              <w:t>020</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5</w:t>
            </w:r>
            <w:r>
              <w:rPr>
                <w:rFonts w:hint="eastAsia" w:ascii="宋体" w:hAnsi="宋体"/>
                <w:color w:val="000000" w:themeColor="text1"/>
                <w:sz w:val="21"/>
                <w:szCs w:val="21"/>
              </w:rPr>
              <w:t>月</w:t>
            </w:r>
            <w:r>
              <w:rPr>
                <w:rFonts w:hint="eastAsia" w:ascii="宋体" w:hAnsi="宋体"/>
                <w:color w:val="000000" w:themeColor="text1"/>
                <w:sz w:val="21"/>
                <w:szCs w:val="21"/>
                <w:lang w:val="en-US" w:eastAsia="zh-CN"/>
              </w:rPr>
              <w:t>30</w:t>
            </w:r>
            <w:r>
              <w:rPr>
                <w:rFonts w:hint="eastAsia" w:ascii="宋体" w:hAnsi="宋体"/>
                <w:color w:val="000000" w:themeColor="text1"/>
                <w:sz w:val="21"/>
                <w:szCs w:val="21"/>
              </w:rPr>
              <w:t>日</w:t>
            </w:r>
            <w:r>
              <w:rPr>
                <w:rFonts w:hint="eastAsia" w:ascii="宋体" w:hAnsi="宋体" w:cs="宋体"/>
                <w:color w:val="000000" w:themeColor="text1"/>
                <w:sz w:val="21"/>
                <w:szCs w:val="21"/>
              </w:rPr>
              <w:t>由总经理主持完成、提供主要输入材料有各部门总结，输入信息基本充分和满足要求。输出见“管理评审报告”, 做出了管理体系基本适宜、充分和有效的评审结论。管理评审的输出不具体，需要改善</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ascii="Times New Roman" w:hAnsi="Times New Roman" w:eastAsia="宋体" w:cs="Times New Roman"/>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spacing w:line="240" w:lineRule="exact"/>
              <w:jc w:val="center"/>
              <w:rPr>
                <w:b/>
                <w:sz w:val="2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sz w:val="21"/>
                <w:szCs w:val="21"/>
              </w:rPr>
            </w:pPr>
          </w:p>
        </w:tc>
        <w:tc>
          <w:tcPr>
            <w:tcW w:w="9198" w:type="dxa"/>
            <w:vAlign w:val="top"/>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ascii="Times New Roman" w:hAnsi="Times New Roman" w:eastAsia="宋体" w:cs="Times New Roman"/>
                <w:b/>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 w:val="21"/>
                <w:szCs w:val="21"/>
              </w:rPr>
            </w:pPr>
            <w:r>
              <w:rPr>
                <w:rFonts w:hint="eastAsia" w:ascii="宋体" w:hAnsi="宋体"/>
                <w:b/>
                <w:sz w:val="21"/>
                <w:szCs w:val="21"/>
              </w:rPr>
              <w:t>(五)持</w:t>
            </w:r>
          </w:p>
          <w:p>
            <w:pPr>
              <w:spacing w:line="240" w:lineRule="exact"/>
              <w:ind w:left="113" w:right="113"/>
              <w:jc w:val="center"/>
              <w:rPr>
                <w:rFonts w:ascii="宋体" w:hAnsi="宋体"/>
                <w:b/>
                <w:sz w:val="21"/>
                <w:szCs w:val="21"/>
              </w:rPr>
            </w:pPr>
            <w:r>
              <w:rPr>
                <w:rFonts w:hint="eastAsia" w:ascii="宋体" w:hAnsi="宋体"/>
                <w:b/>
                <w:sz w:val="21"/>
                <w:szCs w:val="21"/>
              </w:rPr>
              <w:t>续</w:t>
            </w:r>
          </w:p>
          <w:p>
            <w:pPr>
              <w:spacing w:line="240" w:lineRule="exact"/>
              <w:ind w:left="113" w:right="113"/>
              <w:jc w:val="center"/>
              <w:rPr>
                <w:rFonts w:ascii="宋体" w:hAnsi="宋体"/>
                <w:b/>
                <w:sz w:val="21"/>
                <w:szCs w:val="21"/>
              </w:rPr>
            </w:pPr>
            <w:r>
              <w:rPr>
                <w:rFonts w:hint="eastAsia" w:ascii="宋体" w:hAnsi="宋体"/>
                <w:b/>
                <w:sz w:val="21"/>
                <w:szCs w:val="21"/>
              </w:rPr>
              <w:t>改</w:t>
            </w:r>
          </w:p>
          <w:p>
            <w:pPr>
              <w:spacing w:line="240" w:lineRule="exact"/>
              <w:ind w:left="113" w:right="113"/>
              <w:jc w:val="center"/>
              <w:rPr>
                <w:b/>
                <w:sz w:val="21"/>
                <w:szCs w:val="21"/>
              </w:rPr>
            </w:pPr>
            <w:r>
              <w:rPr>
                <w:rFonts w:hint="eastAsia" w:ascii="宋体" w:hAnsi="宋体"/>
                <w:b/>
                <w:sz w:val="21"/>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b/>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tabs>
                <w:tab w:val="center" w:pos="3169"/>
              </w:tabs>
              <w:spacing w:line="400" w:lineRule="exact"/>
              <w:jc w:val="left"/>
              <w:rPr>
                <w:rFonts w:hint="eastAsia" w:ascii="宋体" w:hAnsi="宋体"/>
                <w:b/>
                <w:sz w:val="21"/>
                <w:szCs w:val="21"/>
              </w:rPr>
            </w:pPr>
            <w:r>
              <w:rPr>
                <w:rFonts w:hint="eastAsia" w:ascii="宋体" w:hAnsi="宋体"/>
                <w:b/>
                <w:sz w:val="21"/>
                <w:szCs w:val="21"/>
                <w:lang w:eastAsia="zh-CN"/>
              </w:rPr>
              <w:t>上</w:t>
            </w:r>
            <w:r>
              <w:rPr>
                <w:rFonts w:hint="eastAsia"/>
                <w:b/>
                <w:sz w:val="21"/>
                <w:szCs w:val="21"/>
              </w:rPr>
              <w:t>次</w:t>
            </w:r>
            <w:r>
              <w:rPr>
                <w:rFonts w:hint="eastAsia" w:ascii="宋体" w:hAnsi="宋体"/>
                <w:b/>
                <w:sz w:val="21"/>
                <w:szCs w:val="21"/>
              </w:rPr>
              <w:t>不符合为</w:t>
            </w:r>
            <w:r>
              <w:rPr>
                <w:rFonts w:hint="eastAsia" w:ascii="宋体" w:hAnsi="宋体"/>
                <w:b/>
                <w:sz w:val="21"/>
                <w:szCs w:val="21"/>
                <w:lang w:val="en-US" w:eastAsia="zh-CN"/>
              </w:rPr>
              <w:t>客户服务部8.2.3</w:t>
            </w:r>
            <w:r>
              <w:rPr>
                <w:rFonts w:hint="eastAsia" w:ascii="宋体" w:hAnsi="宋体"/>
                <w:b/>
                <w:sz w:val="21"/>
                <w:szCs w:val="21"/>
              </w:rPr>
              <w:t>，经本次审核验证均整改且无类似不符合情况出现</w:t>
            </w:r>
          </w:p>
          <w:p>
            <w:pPr>
              <w:numPr>
                <w:ilvl w:val="0"/>
                <w:numId w:val="0"/>
              </w:numPr>
              <w:spacing w:line="240" w:lineRule="exact"/>
              <w:ind w:leftChars="0"/>
              <w:rPr>
                <w:rFonts w:hint="eastAsia" w:ascii="宋体" w:hAnsi="宋体" w:eastAsia="宋体"/>
                <w:b/>
                <w:sz w:val="21"/>
                <w:szCs w:val="21"/>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本次审核共开具不符合项报告</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项；其中</w:t>
      </w:r>
      <w:r>
        <w:rPr>
          <w:rFonts w:ascii="宋体" w:hAnsi="宋体"/>
          <w:b/>
          <w:color w:val="000000" w:themeColor="text1"/>
          <w:szCs w:val="21"/>
          <w14:textFill>
            <w14:solidFill>
              <w14:schemeClr w14:val="tx1"/>
            </w14:solidFill>
          </w14:textFill>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14:textFill>
            <w14:solidFill>
              <w14:schemeClr w14:val="tx1"/>
            </w14:solidFill>
          </w14:textFill>
        </w:rPr>
        <w:t>严重不符合</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项，一般不符合</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项，观察项</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项分布在</w:t>
      </w:r>
      <w:r>
        <w:rPr>
          <w:rFonts w:hint="eastAsia" w:ascii="宋体" w:hAnsi="宋体"/>
          <w:b/>
          <w:color w:val="000000" w:themeColor="text1"/>
          <w:szCs w:val="21"/>
          <w:lang w:val="en-US" w:eastAsia="zh-CN"/>
          <w14:textFill>
            <w14:solidFill>
              <w14:schemeClr w14:val="tx1"/>
            </w14:solidFill>
          </w14:textFill>
        </w:rPr>
        <w:t>行政部</w:t>
      </w:r>
      <w:r>
        <w:rPr>
          <w:rFonts w:hint="eastAsia" w:ascii="宋体" w:hAnsi="宋体"/>
          <w:b/>
          <w:color w:val="000000" w:themeColor="text1"/>
          <w:szCs w:val="21"/>
          <w14:textFill>
            <w14:solidFill>
              <w14:schemeClr w14:val="tx1"/>
            </w14:solidFill>
          </w14:textFill>
        </w:rPr>
        <w:t>部门</w:t>
      </w:r>
      <w:r>
        <w:rPr>
          <w:rFonts w:hint="eastAsia" w:ascii="宋体" w:hAnsi="宋体"/>
          <w:b/>
          <w:color w:val="000000" w:themeColor="text1"/>
          <w:szCs w:val="21"/>
          <w:lang w:val="en-US" w:eastAsia="zh-CN"/>
          <w14:textFill>
            <w14:solidFill>
              <w14:schemeClr w14:val="tx1"/>
            </w14:solidFill>
          </w14:textFill>
        </w:rPr>
        <w:t>7.2</w:t>
      </w:r>
      <w:r>
        <w:rPr>
          <w:rFonts w:hint="eastAsia" w:ascii="宋体" w:hAnsi="宋体"/>
          <w:b/>
          <w:color w:val="000000" w:themeColor="text1"/>
          <w:szCs w:val="21"/>
          <w14:textFill>
            <w14:solidFill>
              <w14:schemeClr w14:val="tx1"/>
            </w14:solidFill>
          </w14:textFill>
        </w:rPr>
        <w:t>条款，见不符合项分布表。（</w:t>
      </w:r>
      <w:r>
        <w:rPr>
          <w:rFonts w:ascii="宋体" w:hAnsi="宋体"/>
          <w:b/>
          <w:color w:val="000000" w:themeColor="text1"/>
          <w:szCs w:val="21"/>
          <w14:textFill>
            <w14:solidFill>
              <w14:schemeClr w14:val="tx1"/>
            </w14:solidFill>
          </w14:textFill>
        </w:rPr>
        <w:t>Q/J/E/S</w:t>
      </w:r>
      <w:r>
        <w:rPr>
          <w:rFonts w:hint="eastAsia" w:ascii="宋体" w:hAnsi="宋体"/>
          <w:b/>
          <w:color w:val="000000" w:themeColor="text1"/>
          <w:szCs w:val="21"/>
          <w14:textFill>
            <w14:solidFill>
              <w14:schemeClr w14:val="tx1"/>
            </w14:solidFill>
          </w14:textFill>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2" w:firstLineChars="200"/>
              <w:rPr>
                <w:rFonts w:ascii="宋体" w:hAnsi="宋体"/>
                <w:b/>
                <w:szCs w:val="21"/>
              </w:rPr>
            </w:pPr>
            <w:r>
              <w:rPr>
                <w:rFonts w:ascii="宋体" w:hAnsi="宋体"/>
                <w:b/>
                <w:szCs w:val="21"/>
              </w:rPr>
              <w:t>(</w:t>
            </w: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重庆市重点产业人力资源服务有限公司</w:t>
            </w:r>
            <w:r>
              <w:rPr>
                <w:rFonts w:hint="eastAsia" w:ascii="微软雅黑" w:hAnsi="微软雅黑" w:eastAsia="微软雅黑"/>
                <w:bCs/>
                <w:szCs w:val="24"/>
              </w:rPr>
              <w:t>）的质量</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环境、职业健康安全</w:t>
            </w:r>
            <w:r>
              <w:rPr>
                <w:rFonts w:hint="eastAsia" w:ascii="微软雅黑" w:hAnsi="微软雅黑" w:eastAsia="微软雅黑"/>
                <w:bCs/>
                <w:szCs w:val="24"/>
              </w:rPr>
              <w:t>管理体系适宜、充分、得到良好的实施和保持，体系运行持续有效。</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w:t>
      </w:r>
      <w:r>
        <w:rPr>
          <w:rFonts w:hint="eastAsia"/>
          <w:b/>
          <w:bCs/>
          <w:color w:val="000000" w:themeColor="text1"/>
          <w:sz w:val="21"/>
          <w:szCs w:val="21"/>
          <w14:textFill>
            <w14:solidFill>
              <w14:schemeClr w14:val="tx1"/>
            </w14:solidFill>
          </w14:textFill>
        </w:rPr>
        <w:t>审核中发现的</w:t>
      </w:r>
      <w:r>
        <w:rPr>
          <w:rFonts w:hint="eastAsia" w:ascii="宋体" w:hAnsi="宋体" w:eastAsia="宋体" w:cs="宋体"/>
          <w:b/>
          <w:bCs/>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QMS (</w:t>
      </w:r>
      <w:r>
        <w:rPr>
          <w:rFonts w:hint="eastAsia"/>
          <w:b/>
          <w:color w:val="000000" w:themeColor="text1"/>
          <w:sz w:val="21"/>
          <w:szCs w:val="21"/>
          <w:lang w:val="en-US" w:eastAsia="zh-CN"/>
          <w14:textFill>
            <w14:solidFill>
              <w14:schemeClr w14:val="tx1"/>
            </w14:solidFill>
          </w14:textFill>
        </w:rPr>
        <w:t>1</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0</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个严重不符合，</w:t>
      </w: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14:textFill>
            <w14:solidFill>
              <w14:schemeClr w14:val="tx1"/>
            </w14:solidFill>
          </w14:textFill>
        </w:rPr>
        <w:t>验证合格□仍有问题</w:t>
      </w:r>
    </w:p>
    <w:p>
      <w:pPr>
        <w:spacing w:line="360" w:lineRule="exact"/>
        <w:ind w:firstLine="843" w:firstLineChars="4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审核中发现的□50430 (    )个一般不符合，(    )个严重不符合，□验证合格□仍有问题</w:t>
      </w:r>
    </w:p>
    <w:p>
      <w:pPr>
        <w:spacing w:line="360" w:lineRule="exact"/>
        <w:ind w:firstLine="843" w:firstLineChars="400"/>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EMS ()</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 )</w:t>
      </w:r>
      <w:r>
        <w:rPr>
          <w:rFonts w:hint="eastAsia"/>
          <w:b/>
          <w:color w:val="000000" w:themeColor="text1"/>
          <w:sz w:val="21"/>
          <w:szCs w:val="21"/>
          <w14:textFill>
            <w14:solidFill>
              <w14:schemeClr w14:val="tx1"/>
            </w14:solidFill>
          </w14:textFill>
        </w:rPr>
        <w:t>个严重不符合，□验证合格□仍有问题</w:t>
      </w:r>
    </w:p>
    <w:p>
      <w:pPr>
        <w:spacing w:line="360" w:lineRule="exact"/>
        <w:ind w:firstLine="843" w:firstLineChars="400"/>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审核中发现的</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OHSMS (    )</w:t>
      </w:r>
      <w:r>
        <w:rPr>
          <w:rFonts w:hint="eastAsia"/>
          <w:b/>
          <w:color w:val="000000" w:themeColor="text1"/>
          <w:sz w:val="21"/>
          <w:szCs w:val="21"/>
          <w14:textFill>
            <w14:solidFill>
              <w14:schemeClr w14:val="tx1"/>
            </w14:solidFill>
          </w14:textFill>
        </w:rPr>
        <w:t>个一般不符合，</w:t>
      </w:r>
      <w:r>
        <w:rPr>
          <w:b/>
          <w:color w:val="000000" w:themeColor="text1"/>
          <w:sz w:val="21"/>
          <w:szCs w:val="21"/>
          <w14:textFill>
            <w14:solidFill>
              <w14:schemeClr w14:val="tx1"/>
            </w14:solidFill>
          </w14:textFill>
        </w:rPr>
        <w:t>(    )</w:t>
      </w:r>
      <w:r>
        <w:rPr>
          <w:rFonts w:hint="eastAsia"/>
          <w:b/>
          <w:color w:val="000000" w:themeColor="text1"/>
          <w:sz w:val="21"/>
          <w:szCs w:val="21"/>
          <w14:textFill>
            <w14:solidFill>
              <w14:schemeClr w14:val="tx1"/>
            </w14:solidFill>
          </w14:textFill>
        </w:rPr>
        <w:t>个严重不符合，□验证合格□仍有问题</w:t>
      </w:r>
      <w:r>
        <w:rPr>
          <w:rFonts w:hint="eastAsia"/>
          <w:b/>
          <w:bCs/>
          <w:color w:val="000000" w:themeColor="text1"/>
          <w:sz w:val="21"/>
          <w:szCs w:val="21"/>
          <w14:textFill>
            <w14:solidFill>
              <w14:schemeClr w14:val="tx1"/>
            </w14:solidFill>
          </w14:textFill>
        </w:rPr>
        <w:t>审</w:t>
      </w:r>
    </w:p>
    <w:p>
      <w:pPr>
        <w:spacing w:line="360" w:lineRule="exact"/>
        <w:ind w:firstLine="843" w:firstLineChars="400"/>
        <w:rPr>
          <w:b/>
          <w:color w:val="FF0000"/>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bookmarkStart w:id="27" w:name="_GoBack"/>
      <w:bookmarkEnd w:id="27"/>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b/>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1BCF"/>
    <w:multiLevelType w:val="singleLevel"/>
    <w:tmpl w:val="FE711BCF"/>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2AF10A06"/>
    <w:multiLevelType w:val="singleLevel"/>
    <w:tmpl w:val="2AF10A06"/>
    <w:lvl w:ilvl="0" w:tentative="0">
      <w:start w:val="3"/>
      <w:numFmt w:val="decimal"/>
      <w:suff w:val="space"/>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F3455"/>
    <w:rsid w:val="227C5C29"/>
    <w:rsid w:val="268D2F4F"/>
    <w:rsid w:val="492745A6"/>
    <w:rsid w:val="5D49316F"/>
    <w:rsid w:val="7B884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2020-12-25T07:47:24Z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