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960"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受审核部门：销售部       主管领导：黄占君        陪同人员：刘勋</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 w:val="24"/>
                <w:szCs w:val="24"/>
              </w:rPr>
            </w:pPr>
          </w:p>
        </w:tc>
        <w:tc>
          <w:tcPr>
            <w:tcW w:w="960"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张磊（远程）</w:t>
            </w:r>
            <w:r>
              <w:rPr>
                <w:rFonts w:hint="eastAsia" w:ascii="楷体" w:hAnsi="楷体" w:eastAsia="楷体"/>
                <w:sz w:val="24"/>
                <w:szCs w:val="24"/>
              </w:rPr>
              <w:t xml:space="preserve">      审核时间：2019.12.</w:t>
            </w:r>
            <w:r>
              <w:rPr>
                <w:rFonts w:hint="eastAsia" w:ascii="楷体" w:hAnsi="楷体" w:eastAsia="楷体"/>
                <w:sz w:val="24"/>
                <w:szCs w:val="24"/>
                <w:lang w:val="en-US" w:eastAsia="zh-CN"/>
              </w:rPr>
              <w:t>28</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 w:val="24"/>
                <w:szCs w:val="24"/>
              </w:rPr>
            </w:pPr>
          </w:p>
        </w:tc>
        <w:tc>
          <w:tcPr>
            <w:tcW w:w="960"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sz w:val="24"/>
                <w:szCs w:val="24"/>
              </w:rPr>
            </w:pPr>
            <w:r>
              <w:rPr>
                <w:rFonts w:hint="eastAsia" w:ascii="楷体" w:hAnsi="楷体" w:eastAsia="楷体"/>
                <w:sz w:val="24"/>
                <w:szCs w:val="24"/>
              </w:rPr>
              <w:t>审核条款：</w:t>
            </w:r>
            <w:r>
              <w:rPr>
                <w:rFonts w:hint="eastAsia" w:ascii="宋体" w:hAnsi="宋体" w:cs="Arial"/>
                <w:szCs w:val="21"/>
              </w:rPr>
              <w:t>E/OMS: 5.3组织的岗位、职责和权限、6.2环境与职业健康安全目标、6.1.2环境因素/危险源辨识与评价、8.1运行策划和控制、8.2应急准备和响应</w:t>
            </w:r>
            <w:r>
              <w:rPr>
                <w:rFonts w:hint="eastAsia" w:ascii="楷体" w:hAnsi="楷体" w:eastAsia="楷体"/>
                <w:sz w:val="24"/>
                <w:szCs w:val="24"/>
              </w:rPr>
              <w:t>，</w:t>
            </w:r>
            <w:r>
              <w:rPr>
                <w:rFonts w:ascii="楷体" w:hAnsi="楷体" w:eastAsia="楷体"/>
                <w:sz w:val="24"/>
                <w:szCs w:val="24"/>
              </w:rPr>
              <w:t xml:space="preserve"> </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2160" w:type="dxa"/>
          </w:tcPr>
          <w:p>
            <w:pPr>
              <w:rPr>
                <w:rFonts w:ascii="楷体" w:hAnsi="楷体" w:eastAsia="楷体"/>
                <w:sz w:val="24"/>
                <w:szCs w:val="24"/>
              </w:rPr>
            </w:pPr>
            <w:bookmarkStart w:id="0" w:name="_GoBack" w:colFirst="3" w:colLast="3"/>
          </w:p>
          <w:p>
            <w:pPr>
              <w:rPr>
                <w:rFonts w:ascii="楷体" w:hAnsi="楷体" w:eastAsia="楷体"/>
                <w:sz w:val="24"/>
                <w:szCs w:val="24"/>
              </w:rPr>
            </w:pPr>
            <w:r>
              <w:rPr>
                <w:rFonts w:hint="eastAsia" w:ascii="楷体" w:hAnsi="楷体" w:eastAsia="楷体"/>
                <w:sz w:val="24"/>
                <w:szCs w:val="24"/>
              </w:rPr>
              <w:t>组织的岗位、职责权限</w:t>
            </w:r>
          </w:p>
        </w:tc>
        <w:tc>
          <w:tcPr>
            <w:tcW w:w="960" w:type="dxa"/>
          </w:tcPr>
          <w:p>
            <w:pPr>
              <w:spacing w:line="280" w:lineRule="exact"/>
              <w:rPr>
                <w:rFonts w:ascii="楷体" w:hAnsi="楷体" w:eastAsia="楷体"/>
                <w:sz w:val="24"/>
                <w:szCs w:val="24"/>
              </w:rPr>
            </w:pPr>
          </w:p>
          <w:p>
            <w:pPr>
              <w:spacing w:line="280" w:lineRule="exact"/>
              <w:rPr>
                <w:rFonts w:ascii="楷体" w:hAnsi="楷体" w:eastAsia="楷体"/>
                <w:sz w:val="24"/>
                <w:szCs w:val="24"/>
              </w:rPr>
            </w:pPr>
            <w:r>
              <w:rPr>
                <w:rFonts w:hint="eastAsia" w:ascii="楷体" w:hAnsi="楷体" w:eastAsia="楷体"/>
                <w:sz w:val="24"/>
                <w:szCs w:val="24"/>
              </w:rPr>
              <w:t>EO5.3</w:t>
            </w:r>
          </w:p>
          <w:p>
            <w:pPr>
              <w:rPr>
                <w:rFonts w:ascii="楷体" w:hAnsi="楷体" w:eastAsia="楷体"/>
                <w:sz w:val="24"/>
                <w:szCs w:val="24"/>
              </w:rPr>
            </w:pPr>
          </w:p>
        </w:tc>
        <w:tc>
          <w:tcPr>
            <w:tcW w:w="10004" w:type="dxa"/>
          </w:tcPr>
          <w:p>
            <w:pPr>
              <w:spacing w:line="360" w:lineRule="auto"/>
              <w:rPr>
                <w:rFonts w:ascii="楷体" w:hAnsi="楷体" w:eastAsia="楷体"/>
                <w:sz w:val="24"/>
                <w:szCs w:val="24"/>
              </w:rPr>
            </w:pPr>
            <w:r>
              <w:rPr>
                <w:rFonts w:hint="eastAsia" w:ascii="楷体" w:hAnsi="楷体" w:eastAsia="楷体"/>
                <w:sz w:val="24"/>
                <w:szCs w:val="24"/>
              </w:rPr>
              <w:t xml:space="preserve">部门负责人：黄占君 </w:t>
            </w:r>
          </w:p>
          <w:p>
            <w:pPr>
              <w:spacing w:line="360" w:lineRule="auto"/>
              <w:rPr>
                <w:rFonts w:ascii="楷体" w:hAnsi="楷体" w:eastAsia="楷体"/>
                <w:sz w:val="24"/>
                <w:szCs w:val="24"/>
              </w:rPr>
            </w:pPr>
            <w:r>
              <w:rPr>
                <w:rFonts w:hint="eastAsia" w:ascii="楷体" w:hAnsi="楷体" w:eastAsia="楷体"/>
                <w:sz w:val="24"/>
                <w:szCs w:val="24"/>
              </w:rPr>
              <w:t>询问主要职责：</w:t>
            </w:r>
          </w:p>
          <w:p>
            <w:pPr>
              <w:spacing w:line="360" w:lineRule="auto"/>
              <w:rPr>
                <w:rFonts w:ascii="楷体" w:hAnsi="楷体" w:eastAsia="楷体"/>
                <w:sz w:val="24"/>
                <w:szCs w:val="24"/>
              </w:rPr>
            </w:pPr>
            <w:r>
              <w:rPr>
                <w:rFonts w:hint="eastAsia" w:ascii="楷体" w:hAnsi="楷体" w:eastAsia="楷体"/>
                <w:sz w:val="24"/>
                <w:szCs w:val="24"/>
              </w:rPr>
              <w:t>1)负责与顾客的沟通和联络工作，识别顾客要求，组织合同评审，代表本公司与顾客签订销售合同；</w:t>
            </w:r>
          </w:p>
          <w:p>
            <w:pPr>
              <w:spacing w:line="360" w:lineRule="auto"/>
              <w:rPr>
                <w:rFonts w:ascii="楷体" w:hAnsi="楷体" w:eastAsia="楷体"/>
                <w:sz w:val="24"/>
                <w:szCs w:val="24"/>
              </w:rPr>
            </w:pPr>
            <w:r>
              <w:rPr>
                <w:rFonts w:hint="eastAsia" w:ascii="楷体" w:hAnsi="楷体" w:eastAsia="楷体"/>
                <w:sz w:val="24"/>
                <w:szCs w:val="24"/>
              </w:rPr>
              <w:t>2)负责顾客的服务工作，整理和解决顾客投诉，为顾客服务；</w:t>
            </w:r>
          </w:p>
          <w:p>
            <w:pPr>
              <w:spacing w:line="360" w:lineRule="auto"/>
              <w:rPr>
                <w:rFonts w:ascii="楷体" w:hAnsi="楷体" w:eastAsia="楷体"/>
                <w:sz w:val="24"/>
                <w:szCs w:val="24"/>
              </w:rPr>
            </w:pPr>
            <w:r>
              <w:rPr>
                <w:rFonts w:hint="eastAsia" w:ascii="楷体" w:hAnsi="楷体" w:eastAsia="楷体"/>
                <w:sz w:val="24"/>
                <w:szCs w:val="24"/>
              </w:rPr>
              <w:t>3)负责市场调研和分析，对顾客满意度进行调查分析，整理相应的业务信息与记录。</w:t>
            </w:r>
          </w:p>
          <w:p>
            <w:pPr>
              <w:spacing w:line="360" w:lineRule="auto"/>
              <w:rPr>
                <w:rFonts w:ascii="楷体" w:hAnsi="楷体" w:eastAsia="楷体"/>
                <w:sz w:val="24"/>
                <w:szCs w:val="24"/>
              </w:rPr>
            </w:pPr>
            <w:r>
              <w:rPr>
                <w:rFonts w:hint="eastAsia" w:ascii="楷体" w:hAnsi="楷体" w:eastAsia="楷体"/>
                <w:sz w:val="24"/>
                <w:szCs w:val="24"/>
              </w:rPr>
              <w:t xml:space="preserve">4)负责制定经营计划的编制、经营和工序控制、经营过程的监视和测量； </w:t>
            </w:r>
          </w:p>
          <w:p>
            <w:pPr>
              <w:spacing w:line="360" w:lineRule="auto"/>
              <w:rPr>
                <w:rFonts w:ascii="楷体" w:hAnsi="楷体" w:eastAsia="楷体"/>
                <w:sz w:val="24"/>
                <w:szCs w:val="24"/>
              </w:rPr>
            </w:pPr>
            <w:r>
              <w:rPr>
                <w:rFonts w:hint="eastAsia" w:ascii="楷体" w:hAnsi="楷体" w:eastAsia="楷体"/>
                <w:sz w:val="24"/>
                <w:szCs w:val="24"/>
              </w:rPr>
              <w:t>5)负责对经营过程中的环境和职业健康安全表现实施监视控制；</w:t>
            </w:r>
          </w:p>
          <w:p>
            <w:pPr>
              <w:spacing w:line="360" w:lineRule="auto"/>
              <w:rPr>
                <w:rFonts w:ascii="楷体" w:hAnsi="楷体" w:eastAsia="楷体"/>
                <w:sz w:val="24"/>
                <w:szCs w:val="24"/>
              </w:rPr>
            </w:pPr>
            <w:r>
              <w:rPr>
                <w:rFonts w:hint="eastAsia" w:ascii="楷体" w:hAnsi="楷体" w:eastAsia="楷体"/>
                <w:sz w:val="24"/>
                <w:szCs w:val="24"/>
              </w:rPr>
              <w:t>部门职责清晰、明确。负责人能基本阐述本部门的主要职责。</w:t>
            </w:r>
          </w:p>
        </w:tc>
        <w:tc>
          <w:tcPr>
            <w:tcW w:w="1585"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楷体" w:hAnsi="楷体" w:eastAsia="楷体"/>
                <w:sz w:val="24"/>
                <w:szCs w:val="24"/>
              </w:rPr>
            </w:pPr>
            <w:r>
              <w:rPr>
                <w:rFonts w:hint="eastAsia" w:ascii="楷体" w:hAnsi="楷体" w:eastAsia="楷体"/>
                <w:sz w:val="24"/>
                <w:szCs w:val="24"/>
              </w:rPr>
              <w:t>目标、指标管理方案</w:t>
            </w:r>
          </w:p>
          <w:p>
            <w:pPr>
              <w:rPr>
                <w:rFonts w:ascii="楷体" w:hAnsi="楷体" w:eastAsia="楷体"/>
                <w:sz w:val="24"/>
                <w:szCs w:val="24"/>
              </w:rPr>
            </w:pPr>
          </w:p>
        </w:tc>
        <w:tc>
          <w:tcPr>
            <w:tcW w:w="960" w:type="dxa"/>
          </w:tcPr>
          <w:p>
            <w:pPr>
              <w:pStyle w:val="18"/>
              <w:spacing w:line="360" w:lineRule="auto"/>
              <w:rPr>
                <w:rFonts w:ascii="楷体" w:hAnsi="楷体" w:eastAsia="楷体"/>
                <w:bCs w:val="0"/>
                <w:spacing w:val="0"/>
                <w:sz w:val="24"/>
                <w:szCs w:val="24"/>
              </w:rPr>
            </w:pP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EO：</w:t>
            </w: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6.2.1</w:t>
            </w: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6.2.2</w:t>
            </w:r>
          </w:p>
          <w:p>
            <w:pPr>
              <w:pStyle w:val="18"/>
              <w:spacing w:line="360" w:lineRule="auto"/>
              <w:rPr>
                <w:rFonts w:ascii="楷体" w:hAnsi="楷体" w:eastAsia="楷体"/>
                <w:bCs w:val="0"/>
                <w:spacing w:val="0"/>
                <w:sz w:val="24"/>
                <w:szCs w:val="24"/>
              </w:rPr>
            </w:pPr>
          </w:p>
          <w:p>
            <w:pPr>
              <w:pStyle w:val="18"/>
              <w:spacing w:line="360" w:lineRule="auto"/>
              <w:rPr>
                <w:rFonts w:ascii="楷体" w:hAnsi="楷体" w:eastAsia="楷体"/>
                <w:bCs w:val="0"/>
                <w:spacing w:val="0"/>
                <w:sz w:val="24"/>
                <w:szCs w:val="24"/>
              </w:rPr>
            </w:pPr>
          </w:p>
        </w:tc>
        <w:tc>
          <w:tcPr>
            <w:tcW w:w="10004" w:type="dxa"/>
          </w:tcPr>
          <w:p>
            <w:pPr>
              <w:pStyle w:val="2"/>
              <w:tabs>
                <w:tab w:val="left" w:pos="6885"/>
              </w:tabs>
              <w:ind w:left="0" w:leftChars="0" w:right="0" w:rightChars="0" w:firstLine="0" w:firstLineChars="0"/>
              <w:jc w:val="left"/>
              <w:rPr>
                <w:rFonts w:hint="eastAsia" w:ascii="楷体" w:hAnsi="楷体" w:eastAsia="楷体" w:cs="Times New Roman"/>
                <w:kern w:val="2"/>
                <w:sz w:val="24"/>
                <w:szCs w:val="24"/>
                <w:lang w:val="en-US" w:eastAsia="zh-CN" w:bidi="ar-SA"/>
              </w:rPr>
            </w:pPr>
            <w:r>
              <w:rPr>
                <w:rFonts w:hint="eastAsia" w:ascii="楷体" w:hAnsi="楷体" w:eastAsia="楷体"/>
                <w:sz w:val="24"/>
                <w:szCs w:val="24"/>
              </w:rPr>
              <w:t>编制了《目标及实现策划控制程序JR-QP-06》，</w:t>
            </w:r>
            <w:r>
              <w:rPr>
                <w:rFonts w:hint="eastAsia" w:ascii="楷体" w:hAnsi="楷体" w:eastAsia="楷体" w:cs="Times New Roman"/>
                <w:kern w:val="2"/>
                <w:sz w:val="24"/>
                <w:szCs w:val="24"/>
                <w:lang w:val="en-US" w:eastAsia="zh-CN" w:bidi="ar-SA"/>
              </w:rPr>
              <w:t>提供了《2020年职业健康安全目标达成情况（6-9月）》、《2020年环境目标达成情况（6-9月）》，时间：2020.10.8日。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销售部部门目标：</w:t>
            </w:r>
          </w:p>
          <w:tbl>
            <w:tblPr>
              <w:tblStyle w:val="8"/>
              <w:tblW w:w="7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40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35" w:type="dxa"/>
                  <w:shd w:val="clear" w:color="auto" w:fill="auto"/>
                </w:tcPr>
                <w:p>
                  <w:pPr>
                    <w:jc w:val="left"/>
                    <w:rPr>
                      <w:rFonts w:ascii="楷体" w:hAnsi="楷体" w:eastAsia="楷体"/>
                      <w:sz w:val="24"/>
                      <w:szCs w:val="24"/>
                    </w:rPr>
                  </w:pPr>
                  <w:r>
                    <w:rPr>
                      <w:rFonts w:hint="eastAsia" w:ascii="楷体" w:hAnsi="楷体" w:eastAsia="楷体"/>
                      <w:sz w:val="24"/>
                      <w:szCs w:val="24"/>
                    </w:rPr>
                    <w:t>序号</w:t>
                  </w:r>
                </w:p>
              </w:tc>
              <w:tc>
                <w:tcPr>
                  <w:tcW w:w="4409" w:type="dxa"/>
                  <w:shd w:val="clear" w:color="auto" w:fill="auto"/>
                </w:tcPr>
                <w:p>
                  <w:pPr>
                    <w:ind w:firstLine="960" w:firstLineChars="400"/>
                    <w:jc w:val="left"/>
                    <w:rPr>
                      <w:rFonts w:ascii="楷体" w:hAnsi="楷体" w:eastAsia="楷体"/>
                      <w:sz w:val="24"/>
                      <w:szCs w:val="24"/>
                    </w:rPr>
                  </w:pPr>
                  <w:r>
                    <w:rPr>
                      <w:rFonts w:hint="eastAsia" w:ascii="楷体" w:hAnsi="楷体" w:eastAsia="楷体"/>
                      <w:sz w:val="24"/>
                      <w:szCs w:val="24"/>
                    </w:rPr>
                    <w:t>部门目标</w:t>
                  </w:r>
                </w:p>
              </w:tc>
              <w:tc>
                <w:tcPr>
                  <w:tcW w:w="1887"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1</w:t>
                  </w:r>
                </w:p>
              </w:tc>
              <w:tc>
                <w:tcPr>
                  <w:tcW w:w="4409" w:type="dxa"/>
                  <w:shd w:val="clear" w:color="auto" w:fill="auto"/>
                  <w:vAlign w:val="center"/>
                </w:tcPr>
                <w:p>
                  <w:pPr>
                    <w:jc w:val="center"/>
                    <w:rPr>
                      <w:rFonts w:ascii="楷体" w:hAnsi="楷体" w:eastAsia="楷体"/>
                      <w:sz w:val="24"/>
                      <w:szCs w:val="24"/>
                    </w:rPr>
                  </w:pPr>
                  <w:r>
                    <w:rPr>
                      <w:rFonts w:hint="eastAsia" w:ascii="楷体" w:hAnsi="楷体" w:eastAsia="楷体"/>
                      <w:sz w:val="24"/>
                      <w:szCs w:val="24"/>
                    </w:rPr>
                    <w:t>火灾事故0</w:t>
                  </w:r>
                </w:p>
              </w:tc>
              <w:tc>
                <w:tcPr>
                  <w:tcW w:w="1887"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2</w:t>
                  </w:r>
                </w:p>
              </w:tc>
              <w:tc>
                <w:tcPr>
                  <w:tcW w:w="4409"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轻伤事故0</w:t>
                  </w:r>
                </w:p>
              </w:tc>
              <w:tc>
                <w:tcPr>
                  <w:tcW w:w="1887"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3</w:t>
                  </w:r>
                </w:p>
              </w:tc>
              <w:tc>
                <w:tcPr>
                  <w:tcW w:w="4409"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对重要相关方施加影响率99%</w:t>
                  </w:r>
                </w:p>
              </w:tc>
              <w:tc>
                <w:tcPr>
                  <w:tcW w:w="1887" w:type="dxa"/>
                  <w:shd w:val="clear" w:color="auto" w:fill="auto"/>
                  <w:vAlign w:val="center"/>
                </w:tcPr>
                <w:p>
                  <w:pPr>
                    <w:jc w:val="center"/>
                    <w:rPr>
                      <w:rFonts w:ascii="楷体" w:hAnsi="楷体" w:eastAsia="楷体"/>
                      <w:sz w:val="24"/>
                      <w:szCs w:val="24"/>
                    </w:rPr>
                  </w:pPr>
                  <w:r>
                    <w:rPr>
                      <w:rFonts w:hint="eastAsia" w:ascii="楷体" w:hAnsi="楷体" w:eastAsia="楷体"/>
                      <w:sz w:val="24"/>
                      <w:szCs w:val="24"/>
                    </w:rPr>
                    <w:t>100</w:t>
                  </w:r>
                  <w:r>
                    <w:rPr>
                      <w:rFonts w:ascii="楷体" w:hAnsi="楷体" w:eastAsia="楷体"/>
                      <w:sz w:val="24"/>
                      <w:szCs w:val="24"/>
                    </w:rPr>
                    <w:t>%</w:t>
                  </w:r>
                </w:p>
              </w:tc>
            </w:tr>
          </w:tbl>
          <w:p>
            <w:pPr>
              <w:tabs>
                <w:tab w:val="center" w:pos="3169"/>
              </w:tabs>
              <w:spacing w:line="360" w:lineRule="auto"/>
              <w:jc w:val="left"/>
              <w:rPr>
                <w:rFonts w:ascii="楷体" w:hAnsi="楷体" w:eastAsia="楷体"/>
                <w:sz w:val="24"/>
                <w:szCs w:val="24"/>
              </w:rPr>
            </w:pPr>
            <w:r>
              <w:rPr>
                <w:rFonts w:hint="eastAsia" w:ascii="楷体" w:hAnsi="楷体" w:eastAsia="楷体"/>
                <w:sz w:val="24"/>
                <w:szCs w:val="24"/>
              </w:rPr>
              <w:t>经考核目标能达成。</w:t>
            </w:r>
          </w:p>
        </w:tc>
        <w:tc>
          <w:tcPr>
            <w:tcW w:w="1585"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vAlign w:val="center"/>
          </w:tcPr>
          <w:p>
            <w:pPr>
              <w:spacing w:line="360" w:lineRule="auto"/>
              <w:rPr>
                <w:rFonts w:ascii="楷体" w:hAnsi="楷体" w:eastAsia="楷体" w:cs="楷体"/>
                <w:sz w:val="24"/>
                <w:szCs w:val="24"/>
              </w:rPr>
            </w:pPr>
            <w:r>
              <w:rPr>
                <w:rFonts w:hint="eastAsia" w:ascii="楷体" w:hAnsi="楷体" w:eastAsia="楷体" w:cs="Arial"/>
                <w:sz w:val="24"/>
                <w:szCs w:val="24"/>
              </w:rPr>
              <w:t>环境因素、危险源辨识与评价</w:t>
            </w:r>
          </w:p>
          <w:p>
            <w:pPr>
              <w:rPr>
                <w:rFonts w:ascii="楷体" w:hAnsi="楷体" w:eastAsia="楷体"/>
                <w:sz w:val="24"/>
                <w:szCs w:val="24"/>
              </w:rPr>
            </w:pP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rPr>
              <w:t>E/S：</w:t>
            </w:r>
            <w:r>
              <w:rPr>
                <w:rFonts w:hint="eastAsia" w:ascii="楷体" w:hAnsi="楷体" w:eastAsia="楷体" w:cs="Arial"/>
                <w:sz w:val="24"/>
                <w:szCs w:val="24"/>
              </w:rPr>
              <w:t xml:space="preserve">6.1.2 </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napToGrid w:val="0"/>
              <w:spacing w:line="360" w:lineRule="auto"/>
              <w:ind w:firstLine="480"/>
              <w:rPr>
                <w:rFonts w:ascii="楷体" w:hAnsi="楷体" w:eastAsia="楷体" w:cs="楷体"/>
                <w:sz w:val="24"/>
                <w:szCs w:val="24"/>
              </w:rPr>
            </w:pPr>
            <w:r>
              <w:rPr>
                <w:rFonts w:hint="eastAsia" w:ascii="楷体" w:hAnsi="楷体" w:eastAsia="楷体" w:cs="楷体"/>
                <w:sz w:val="24"/>
                <w:szCs w:val="24"/>
              </w:rPr>
              <w:t>销售部根据</w:t>
            </w:r>
            <w:r>
              <w:rPr>
                <w:rFonts w:hint="eastAsia" w:ascii="楷体" w:hAnsi="楷体" w:eastAsia="楷体" w:cs="楷体"/>
                <w:color w:val="000000"/>
                <w:sz w:val="24"/>
                <w:szCs w:val="24"/>
              </w:rPr>
              <w:t>《环境因素</w:t>
            </w:r>
            <w:r>
              <w:rPr>
                <w:rFonts w:hint="eastAsia" w:ascii="楷体" w:hAnsi="楷体" w:eastAsia="楷体" w:cs="楷体"/>
                <w:bCs/>
                <w:sz w:val="24"/>
                <w:szCs w:val="24"/>
              </w:rPr>
              <w:t>识别、评价与更新控制程序JR-QP-13》、《危险源辨识与风险评价及控制措施确定程序JR-QP-14》</w:t>
            </w:r>
            <w:r>
              <w:rPr>
                <w:rFonts w:hint="eastAsia" w:ascii="楷体" w:hAnsi="楷体" w:eastAsia="楷体" w:cs="楷体"/>
                <w:sz w:val="24"/>
                <w:szCs w:val="24"/>
              </w:rPr>
              <w:t>。按照办公过程及销售服务过程对环境因素、危险源进行了辨识，辨识时考虑了三种时态：过去、现在和将来，和三种状态：正常、异常和紧急。</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识别表”，识别了本部门在办公、采购、销售、相关方等各有关过程的环境因素，包括水电消耗、办公纸张消耗和废弃、销售产品、销售活动宣传材料的处置、车辆尾气排放、废包装物排放等环境因素，识别时能考虑产品生命周期观点。</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查《重要环境因素清单》，涉及销售部有2项重要环境因素，包括：火灾、固体废弃物的排放。</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控制措施：固废分类存放、垃圾等由行政部负责按规定处置，培训教育，配备消防器材、制定应急预案等措施。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color w:val="000000"/>
                <w:sz w:val="24"/>
                <w:szCs w:val="24"/>
              </w:rPr>
              <w:t>危险源辨识及风险评价表</w:t>
            </w:r>
            <w:r>
              <w:rPr>
                <w:rFonts w:hint="eastAsia" w:ascii="楷体" w:hAnsi="楷体" w:eastAsia="楷体" w:cs="楷体"/>
                <w:sz w:val="24"/>
                <w:szCs w:val="24"/>
              </w:rPr>
              <w:t>”，识别了办公电器漏电触电、仓库钢板及产品装卸和堆放不合规导致的物体打击、运输汽车事故等危险源。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查《重要危险源清单》，涉及本部门的有3个不可接受风险，包括：触电、火灾、人身伤害等。</w:t>
            </w:r>
          </w:p>
          <w:p>
            <w:pPr>
              <w:spacing w:line="360" w:lineRule="auto"/>
              <w:ind w:firstLine="468"/>
              <w:rPr>
                <w:rFonts w:hint="eastAsia" w:ascii="楷体" w:hAnsi="楷体" w:eastAsia="楷体" w:cs="楷体"/>
                <w:sz w:val="24"/>
                <w:szCs w:val="24"/>
              </w:rPr>
            </w:pPr>
            <w:r>
              <w:rPr>
                <w:rFonts w:hint="eastAsia" w:ascii="楷体" w:hAnsi="楷体" w:eastAsia="楷体" w:cs="楷体"/>
                <w:sz w:val="24"/>
                <w:szCs w:val="24"/>
              </w:rPr>
              <w:t>危险源控制执行管理方案、配备消防器材、日常检查、培训教育、应急预案等运行控制措施。</w:t>
            </w:r>
          </w:p>
          <w:p>
            <w:pPr>
              <w:spacing w:line="360" w:lineRule="auto"/>
              <w:ind w:firstLine="468"/>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查看《环境目标指标管理方案》、《职业健康安全管理方案》</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针对火灾：</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按规定处置制定火灾预案及消防管理规定，加强人员消防意识，防患于未来；                  </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2.实行应急准备演练及试验，一旦发生可立即疏散及抢救。</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针对触电：</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1）控电箱实施100%上锁及挂牌的安全管理；</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2）确保每年对现场作业人员至少进行一次用电知识培训；</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3）每日班前会步置和检查生产、质量、安全；</w:t>
            </w:r>
          </w:p>
          <w:p>
            <w:pPr>
              <w:spacing w:line="360" w:lineRule="auto"/>
              <w:ind w:firstLine="468"/>
              <w:rPr>
                <w:rFonts w:hint="eastAsia" w:ascii="楷体" w:hAnsi="楷体" w:eastAsia="楷体" w:cs="楷体"/>
                <w:sz w:val="24"/>
                <w:szCs w:val="24"/>
              </w:rPr>
            </w:pPr>
            <w:r>
              <w:rPr>
                <w:rFonts w:hint="eastAsia" w:ascii="楷体" w:hAnsi="楷体" w:eastAsia="楷体" w:cs="楷体"/>
                <w:sz w:val="24"/>
                <w:szCs w:val="24"/>
              </w:rPr>
              <w:t>4）各种用电机械必须做到保护接零,确保操作安全。</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 xml:space="preserve"> 部门识别和评价基本充分，符合规定要求。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sz w:val="24"/>
                <w:szCs w:val="24"/>
              </w:rPr>
            </w:pPr>
            <w:r>
              <w:rPr>
                <w:rFonts w:hint="eastAsia" w:ascii="楷体" w:hAnsi="楷体" w:eastAsia="楷体" w:cs="Arial"/>
                <w:sz w:val="24"/>
                <w:szCs w:val="24"/>
              </w:rPr>
              <w:t>运行策划和控制</w:t>
            </w: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rPr>
              <w:t>E/S：</w:t>
            </w:r>
            <w:r>
              <w:rPr>
                <w:rFonts w:hint="eastAsia" w:ascii="楷体" w:hAnsi="楷体" w:eastAsia="楷体" w:cs="Arial"/>
                <w:sz w:val="24"/>
                <w:szCs w:val="24"/>
              </w:rPr>
              <w:t>8.1</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1.实施</w:t>
            </w:r>
            <w:r>
              <w:rPr>
                <w:rFonts w:hint="eastAsia" w:ascii="楷体" w:hAnsi="楷体" w:eastAsia="楷体" w:cs="楷体"/>
                <w:color w:val="000000"/>
                <w:sz w:val="24"/>
                <w:szCs w:val="24"/>
              </w:rPr>
              <w:t>《环境因素</w:t>
            </w:r>
            <w:r>
              <w:rPr>
                <w:rFonts w:hint="eastAsia" w:ascii="楷体" w:hAnsi="楷体" w:eastAsia="楷体" w:cs="楷体"/>
                <w:bCs/>
                <w:sz w:val="24"/>
                <w:szCs w:val="24"/>
              </w:rPr>
              <w:t>识别、评价与更新控制程序JR-QP-13》、《危险源辨识与风险评价及控制措施确定程序JR-QP-14》</w:t>
            </w:r>
            <w:r>
              <w:rPr>
                <w:rFonts w:hint="eastAsia" w:ascii="楷体" w:hAnsi="楷体" w:eastAsia="楷体" w:cs="楷体"/>
                <w:sz w:val="24"/>
                <w:szCs w:val="24"/>
              </w:rPr>
              <w:t>等环境、职业健康安全控制程序和管理制度。</w:t>
            </w:r>
          </w:p>
          <w:p>
            <w:pPr>
              <w:spacing w:line="360" w:lineRule="auto"/>
              <w:rPr>
                <w:rFonts w:ascii="楷体" w:hAnsi="楷体" w:eastAsia="楷体" w:cs="楷体"/>
                <w:sz w:val="24"/>
                <w:szCs w:val="24"/>
              </w:rPr>
            </w:pPr>
            <w:r>
              <w:rPr>
                <w:rFonts w:hint="eastAsia" w:ascii="楷体" w:hAnsi="楷体" w:eastAsia="楷体" w:cs="楷体"/>
                <w:sz w:val="24"/>
                <w:szCs w:val="24"/>
              </w:rPr>
              <w:t>2.公司通过业务洽谈进行销售，流程是业务洽谈→合同评审→生产→检验→交付。</w:t>
            </w:r>
          </w:p>
          <w:p>
            <w:pPr>
              <w:spacing w:line="360" w:lineRule="auto"/>
              <w:rPr>
                <w:rFonts w:ascii="楷体" w:hAnsi="楷体" w:eastAsia="楷体" w:cs="楷体"/>
                <w:sz w:val="24"/>
                <w:szCs w:val="24"/>
              </w:rPr>
            </w:pPr>
            <w:r>
              <w:rPr>
                <w:rFonts w:hint="eastAsia" w:ascii="楷体" w:hAnsi="楷体" w:eastAsia="楷体" w:cs="楷体"/>
                <w:sz w:val="24"/>
                <w:szCs w:val="24"/>
              </w:rPr>
              <w:t>3.公司目前销售的产品主要是：石灰石，有合格证和检验报告。</w:t>
            </w:r>
          </w:p>
          <w:p>
            <w:pPr>
              <w:spacing w:line="360" w:lineRule="auto"/>
              <w:rPr>
                <w:rFonts w:ascii="楷体" w:hAnsi="楷体" w:eastAsia="楷体" w:cs="楷体"/>
                <w:sz w:val="24"/>
                <w:szCs w:val="24"/>
              </w:rPr>
            </w:pPr>
            <w:r>
              <w:rPr>
                <w:rFonts w:hint="eastAsia" w:ascii="楷体" w:hAnsi="楷体" w:eastAsia="楷体" w:cs="楷体"/>
                <w:sz w:val="24"/>
                <w:szCs w:val="24"/>
              </w:rPr>
              <w:t>4.本部门办公中产生的废弃物，由行政部统一处理。</w:t>
            </w:r>
          </w:p>
          <w:p>
            <w:pPr>
              <w:spacing w:line="360" w:lineRule="auto"/>
              <w:rPr>
                <w:rFonts w:ascii="楷体" w:hAnsi="楷体" w:eastAsia="楷体" w:cs="楷体"/>
                <w:sz w:val="24"/>
                <w:szCs w:val="24"/>
              </w:rPr>
            </w:pPr>
            <w:r>
              <w:rPr>
                <w:rFonts w:hint="eastAsia" w:ascii="楷体" w:hAnsi="楷体" w:eastAsia="楷体" w:cs="楷体"/>
                <w:sz w:val="24"/>
                <w:szCs w:val="24"/>
              </w:rPr>
              <w:t>5. 查见办公现场灭火器完好有效；提供了消防器材完好性检查记录，每月由专人负责检查。</w:t>
            </w:r>
          </w:p>
          <w:p>
            <w:pPr>
              <w:spacing w:line="360" w:lineRule="auto"/>
              <w:rPr>
                <w:rFonts w:ascii="楷体" w:hAnsi="楷体" w:eastAsia="楷体" w:cs="楷体"/>
                <w:sz w:val="24"/>
                <w:szCs w:val="24"/>
              </w:rPr>
            </w:pPr>
            <w:r>
              <w:rPr>
                <w:rFonts w:hint="eastAsia" w:ascii="楷体" w:hAnsi="楷体" w:eastAsia="楷体" w:cs="楷体"/>
                <w:sz w:val="24"/>
                <w:szCs w:val="24"/>
              </w:rPr>
              <w:t>6.销售部办公人员使用电脑时间不要太久，减少电磁辐射；复印机放置在通风的地域，以减少废气对人体的伤害。</w:t>
            </w:r>
          </w:p>
          <w:p>
            <w:pPr>
              <w:spacing w:line="360" w:lineRule="auto"/>
              <w:rPr>
                <w:rFonts w:ascii="楷体" w:hAnsi="楷体" w:eastAsia="楷体" w:cs="楷体"/>
                <w:sz w:val="24"/>
                <w:szCs w:val="24"/>
              </w:rPr>
            </w:pPr>
            <w:r>
              <w:rPr>
                <w:rFonts w:hint="eastAsia" w:ascii="楷体" w:hAnsi="楷体" w:eastAsia="楷体" w:cs="楷体"/>
                <w:sz w:val="24"/>
                <w:szCs w:val="24"/>
              </w:rPr>
              <w:t>7.销售部人员外出驾车严格按照交通法规执行，不疲劳驾驶、酒后驾驶，不超速行驶和不闯红灯。</w:t>
            </w:r>
          </w:p>
          <w:p>
            <w:pPr>
              <w:spacing w:line="360" w:lineRule="auto"/>
              <w:rPr>
                <w:rFonts w:ascii="楷体" w:hAnsi="楷体" w:eastAsia="楷体" w:cs="楷体"/>
                <w:sz w:val="24"/>
                <w:szCs w:val="24"/>
              </w:rPr>
            </w:pPr>
            <w:r>
              <w:rPr>
                <w:rFonts w:hint="eastAsia" w:ascii="楷体" w:hAnsi="楷体" w:eastAsia="楷体" w:cs="楷体"/>
                <w:sz w:val="24"/>
                <w:szCs w:val="24"/>
              </w:rPr>
              <w:t>8.销售部人员在外食宿要注意饮食卫生，住宿安全。</w:t>
            </w:r>
          </w:p>
          <w:p>
            <w:pPr>
              <w:spacing w:line="360" w:lineRule="auto"/>
              <w:rPr>
                <w:rFonts w:ascii="楷体" w:hAnsi="楷体" w:eastAsia="楷体" w:cs="楷体"/>
                <w:sz w:val="24"/>
                <w:szCs w:val="24"/>
              </w:rPr>
            </w:pPr>
            <w:r>
              <w:rPr>
                <w:rFonts w:hint="eastAsia" w:ascii="楷体" w:hAnsi="楷体" w:eastAsia="楷体" w:cs="楷体"/>
                <w:sz w:val="24"/>
                <w:szCs w:val="24"/>
              </w:rPr>
              <w:t>9.要求顾客进入公司所处区域时要求减速慢行，禁止长时间鸣笛，注意安全。</w:t>
            </w:r>
          </w:p>
          <w:p>
            <w:pPr>
              <w:spacing w:line="360" w:lineRule="auto"/>
              <w:ind w:firstLine="480" w:firstLineChars="200"/>
              <w:rPr>
                <w:rFonts w:ascii="楷体" w:hAnsi="楷体" w:eastAsia="楷体" w:cs="楷体"/>
                <w:sz w:val="24"/>
                <w:szCs w:val="24"/>
              </w:rPr>
            </w:pPr>
            <w:r>
              <w:rPr>
                <w:rFonts w:ascii="楷体" w:hAnsi="楷体" w:eastAsia="楷体" w:cs="楷体"/>
                <w:sz w:val="24"/>
                <w:szCs w:val="24"/>
              </w:rPr>
              <w:t>销售部在环保和安全管理方面基本符合规定要求</w:t>
            </w:r>
            <w:r>
              <w:rPr>
                <w:rFonts w:hint="eastAsia" w:ascii="楷体" w:hAnsi="楷体" w:eastAsia="楷体" w:cs="楷体"/>
                <w:sz w:val="24"/>
                <w:szCs w:val="24"/>
              </w:rPr>
              <w:t>。</w:t>
            </w:r>
          </w:p>
        </w:tc>
        <w:tc>
          <w:tcPr>
            <w:tcW w:w="1585"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E/O8.2</w:t>
            </w:r>
          </w:p>
          <w:p>
            <w:pPr>
              <w:rPr>
                <w:rFonts w:ascii="楷体" w:hAnsi="楷体" w:eastAsia="楷体" w:cs="楷体"/>
                <w:sz w:val="24"/>
                <w:szCs w:val="24"/>
              </w:rPr>
            </w:pPr>
          </w:p>
        </w:tc>
        <w:tc>
          <w:tcPr>
            <w:tcW w:w="10004"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编制了：“应急准备和响应控制程序”来减少或消除由于安全紧急情况或意外事件和环境事故或紧急情况污染环境所造成的损失，做出应急准备和响应，并预防或降低可能伴随产生的环境影响和职业健康安全风险。</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20</w:t>
            </w:r>
            <w:r>
              <w:rPr>
                <w:rFonts w:hint="eastAsia" w:ascii="楷体" w:hAnsi="楷体" w:eastAsia="楷体" w:cs="楷体"/>
                <w:sz w:val="24"/>
                <w:szCs w:val="24"/>
              </w:rPr>
              <w:t>.7.</w:t>
            </w:r>
            <w:r>
              <w:rPr>
                <w:rFonts w:hint="eastAsia" w:ascii="楷体" w:hAnsi="楷体" w:eastAsia="楷体" w:cs="楷体"/>
                <w:sz w:val="24"/>
                <w:szCs w:val="24"/>
                <w:lang w:val="en-US" w:eastAsia="zh-CN"/>
              </w:rPr>
              <w:t>23</w:t>
            </w:r>
            <w:r>
              <w:rPr>
                <w:rFonts w:hint="eastAsia" w:ascii="楷体" w:hAnsi="楷体" w:eastAsia="楷体" w:cs="楷体"/>
                <w:sz w:val="24"/>
                <w:szCs w:val="24"/>
              </w:rPr>
              <w:t>日参加了公司组织的消防应急预案。</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自体系运行至今未发生紧急情况。</w:t>
            </w:r>
          </w:p>
        </w:tc>
        <w:tc>
          <w:tcPr>
            <w:tcW w:w="1585" w:type="dxa"/>
          </w:tcPr>
          <w:p>
            <w:r>
              <w:rPr>
                <w:rFonts w:hint="eastAsia" w:ascii="楷体" w:hAnsi="楷体" w:eastAsia="楷体"/>
                <w:sz w:val="24"/>
                <w:szCs w:val="24"/>
                <w:lang w:val="en-US" w:eastAsia="zh-CN"/>
              </w:rPr>
              <w:t>符合</w:t>
            </w:r>
          </w:p>
        </w:tc>
      </w:tr>
      <w:bookmarkEnd w:id="0"/>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47AAF"/>
    <w:rsid w:val="0007191D"/>
    <w:rsid w:val="000727B1"/>
    <w:rsid w:val="00085E28"/>
    <w:rsid w:val="000A1249"/>
    <w:rsid w:val="000A6668"/>
    <w:rsid w:val="000B5635"/>
    <w:rsid w:val="000C203B"/>
    <w:rsid w:val="000E5722"/>
    <w:rsid w:val="000F1E5D"/>
    <w:rsid w:val="000F3A16"/>
    <w:rsid w:val="000F5DD5"/>
    <w:rsid w:val="00102A1B"/>
    <w:rsid w:val="0010534F"/>
    <w:rsid w:val="00112325"/>
    <w:rsid w:val="00141F69"/>
    <w:rsid w:val="001604F7"/>
    <w:rsid w:val="00186D28"/>
    <w:rsid w:val="001973D3"/>
    <w:rsid w:val="001A144D"/>
    <w:rsid w:val="001A2D7F"/>
    <w:rsid w:val="001C1470"/>
    <w:rsid w:val="001D5E77"/>
    <w:rsid w:val="001F4540"/>
    <w:rsid w:val="002133AF"/>
    <w:rsid w:val="00217451"/>
    <w:rsid w:val="00223BA4"/>
    <w:rsid w:val="00242DBB"/>
    <w:rsid w:val="00243882"/>
    <w:rsid w:val="00245A4F"/>
    <w:rsid w:val="002600EF"/>
    <w:rsid w:val="00280857"/>
    <w:rsid w:val="00292365"/>
    <w:rsid w:val="002C6903"/>
    <w:rsid w:val="002C6B30"/>
    <w:rsid w:val="002D2E7C"/>
    <w:rsid w:val="00322A4F"/>
    <w:rsid w:val="00332C66"/>
    <w:rsid w:val="00337922"/>
    <w:rsid w:val="003403D4"/>
    <w:rsid w:val="00340867"/>
    <w:rsid w:val="003449B2"/>
    <w:rsid w:val="003468E2"/>
    <w:rsid w:val="003706AE"/>
    <w:rsid w:val="00380837"/>
    <w:rsid w:val="0038474D"/>
    <w:rsid w:val="00385CC6"/>
    <w:rsid w:val="00390403"/>
    <w:rsid w:val="00397223"/>
    <w:rsid w:val="003C3052"/>
    <w:rsid w:val="003D56C6"/>
    <w:rsid w:val="003F42F4"/>
    <w:rsid w:val="003F494F"/>
    <w:rsid w:val="00407AE2"/>
    <w:rsid w:val="00410914"/>
    <w:rsid w:val="004109AD"/>
    <w:rsid w:val="004273E5"/>
    <w:rsid w:val="0045526A"/>
    <w:rsid w:val="00461C50"/>
    <w:rsid w:val="00480D43"/>
    <w:rsid w:val="0048397C"/>
    <w:rsid w:val="0048713B"/>
    <w:rsid w:val="004B34F3"/>
    <w:rsid w:val="004C390C"/>
    <w:rsid w:val="004C4165"/>
    <w:rsid w:val="004E7C2C"/>
    <w:rsid w:val="005117D9"/>
    <w:rsid w:val="0052085D"/>
    <w:rsid w:val="00526592"/>
    <w:rsid w:val="00533917"/>
    <w:rsid w:val="00536930"/>
    <w:rsid w:val="005537A3"/>
    <w:rsid w:val="00561442"/>
    <w:rsid w:val="00564E53"/>
    <w:rsid w:val="00567BA6"/>
    <w:rsid w:val="005748AF"/>
    <w:rsid w:val="00575289"/>
    <w:rsid w:val="005830C0"/>
    <w:rsid w:val="00583277"/>
    <w:rsid w:val="00591256"/>
    <w:rsid w:val="00596B42"/>
    <w:rsid w:val="005A0BCF"/>
    <w:rsid w:val="005C4113"/>
    <w:rsid w:val="005D2815"/>
    <w:rsid w:val="005E1775"/>
    <w:rsid w:val="005F35CC"/>
    <w:rsid w:val="006024F1"/>
    <w:rsid w:val="0061673E"/>
    <w:rsid w:val="006302B4"/>
    <w:rsid w:val="006373D8"/>
    <w:rsid w:val="00644FE2"/>
    <w:rsid w:val="006611F6"/>
    <w:rsid w:val="00664CE0"/>
    <w:rsid w:val="00671079"/>
    <w:rsid w:val="0067640C"/>
    <w:rsid w:val="006926AA"/>
    <w:rsid w:val="00695256"/>
    <w:rsid w:val="006A16FB"/>
    <w:rsid w:val="006A2318"/>
    <w:rsid w:val="006B6C59"/>
    <w:rsid w:val="006E678B"/>
    <w:rsid w:val="006E7CA9"/>
    <w:rsid w:val="006F390D"/>
    <w:rsid w:val="006F5918"/>
    <w:rsid w:val="00716F12"/>
    <w:rsid w:val="00723B0E"/>
    <w:rsid w:val="0073687E"/>
    <w:rsid w:val="007421B3"/>
    <w:rsid w:val="00744B02"/>
    <w:rsid w:val="00765A1B"/>
    <w:rsid w:val="007757F3"/>
    <w:rsid w:val="00776414"/>
    <w:rsid w:val="007814AB"/>
    <w:rsid w:val="007868DC"/>
    <w:rsid w:val="00790381"/>
    <w:rsid w:val="00790B34"/>
    <w:rsid w:val="007976C5"/>
    <w:rsid w:val="007B5463"/>
    <w:rsid w:val="007D7BBA"/>
    <w:rsid w:val="007E036C"/>
    <w:rsid w:val="007E6AEB"/>
    <w:rsid w:val="00801FFB"/>
    <w:rsid w:val="0080239D"/>
    <w:rsid w:val="00807703"/>
    <w:rsid w:val="008102A5"/>
    <w:rsid w:val="00812B35"/>
    <w:rsid w:val="00826648"/>
    <w:rsid w:val="008532BA"/>
    <w:rsid w:val="00864A32"/>
    <w:rsid w:val="00865436"/>
    <w:rsid w:val="008668B3"/>
    <w:rsid w:val="0088069D"/>
    <w:rsid w:val="00885E0F"/>
    <w:rsid w:val="0089001A"/>
    <w:rsid w:val="008973EE"/>
    <w:rsid w:val="008A7726"/>
    <w:rsid w:val="008B19BF"/>
    <w:rsid w:val="008C2E81"/>
    <w:rsid w:val="008F0FD7"/>
    <w:rsid w:val="008F14CD"/>
    <w:rsid w:val="00901436"/>
    <w:rsid w:val="0091791C"/>
    <w:rsid w:val="00940007"/>
    <w:rsid w:val="00941F52"/>
    <w:rsid w:val="00943E40"/>
    <w:rsid w:val="009449B9"/>
    <w:rsid w:val="009462AD"/>
    <w:rsid w:val="00947067"/>
    <w:rsid w:val="00951C47"/>
    <w:rsid w:val="00971600"/>
    <w:rsid w:val="009756DE"/>
    <w:rsid w:val="00995CA6"/>
    <w:rsid w:val="009973B4"/>
    <w:rsid w:val="009A7172"/>
    <w:rsid w:val="009C0423"/>
    <w:rsid w:val="009C4EA9"/>
    <w:rsid w:val="009E060E"/>
    <w:rsid w:val="009E17E1"/>
    <w:rsid w:val="009E73E2"/>
    <w:rsid w:val="009F3A73"/>
    <w:rsid w:val="009F7EED"/>
    <w:rsid w:val="00A11949"/>
    <w:rsid w:val="00A14992"/>
    <w:rsid w:val="00A23982"/>
    <w:rsid w:val="00A32D20"/>
    <w:rsid w:val="00A411FD"/>
    <w:rsid w:val="00A67098"/>
    <w:rsid w:val="00A73192"/>
    <w:rsid w:val="00A7603D"/>
    <w:rsid w:val="00A87FDB"/>
    <w:rsid w:val="00A903DF"/>
    <w:rsid w:val="00AA0580"/>
    <w:rsid w:val="00AA2580"/>
    <w:rsid w:val="00AB69B9"/>
    <w:rsid w:val="00AC2F80"/>
    <w:rsid w:val="00AE2FB7"/>
    <w:rsid w:val="00AE31B0"/>
    <w:rsid w:val="00AF0129"/>
    <w:rsid w:val="00AF0AAB"/>
    <w:rsid w:val="00AF7268"/>
    <w:rsid w:val="00B209B2"/>
    <w:rsid w:val="00B2785D"/>
    <w:rsid w:val="00B60607"/>
    <w:rsid w:val="00B80995"/>
    <w:rsid w:val="00B96A3A"/>
    <w:rsid w:val="00B971F3"/>
    <w:rsid w:val="00BA5C1D"/>
    <w:rsid w:val="00BB3F29"/>
    <w:rsid w:val="00BE11F4"/>
    <w:rsid w:val="00BE1F6D"/>
    <w:rsid w:val="00BF597E"/>
    <w:rsid w:val="00C24854"/>
    <w:rsid w:val="00C309B7"/>
    <w:rsid w:val="00C35CBA"/>
    <w:rsid w:val="00C51A36"/>
    <w:rsid w:val="00C55228"/>
    <w:rsid w:val="00C66B45"/>
    <w:rsid w:val="00C7541C"/>
    <w:rsid w:val="00CA6346"/>
    <w:rsid w:val="00CC54E3"/>
    <w:rsid w:val="00CD445C"/>
    <w:rsid w:val="00CD645C"/>
    <w:rsid w:val="00CE315A"/>
    <w:rsid w:val="00CF0F5A"/>
    <w:rsid w:val="00CF431E"/>
    <w:rsid w:val="00D0019C"/>
    <w:rsid w:val="00D061C9"/>
    <w:rsid w:val="00D06F59"/>
    <w:rsid w:val="00D12E96"/>
    <w:rsid w:val="00D16A37"/>
    <w:rsid w:val="00D376F5"/>
    <w:rsid w:val="00D51D07"/>
    <w:rsid w:val="00D76F42"/>
    <w:rsid w:val="00D8388C"/>
    <w:rsid w:val="00DB2CD2"/>
    <w:rsid w:val="00DB2E75"/>
    <w:rsid w:val="00DC229F"/>
    <w:rsid w:val="00DE47F6"/>
    <w:rsid w:val="00DF05F0"/>
    <w:rsid w:val="00E0500F"/>
    <w:rsid w:val="00E25BDD"/>
    <w:rsid w:val="00E413AC"/>
    <w:rsid w:val="00E514A5"/>
    <w:rsid w:val="00E62A2C"/>
    <w:rsid w:val="00E70F0E"/>
    <w:rsid w:val="00E75EFE"/>
    <w:rsid w:val="00E8374D"/>
    <w:rsid w:val="00E9004E"/>
    <w:rsid w:val="00E9637F"/>
    <w:rsid w:val="00EA6B1F"/>
    <w:rsid w:val="00EB0164"/>
    <w:rsid w:val="00EC2E60"/>
    <w:rsid w:val="00ED0F62"/>
    <w:rsid w:val="00ED4FA5"/>
    <w:rsid w:val="00EF4FD7"/>
    <w:rsid w:val="00EF79D5"/>
    <w:rsid w:val="00F01694"/>
    <w:rsid w:val="00F42184"/>
    <w:rsid w:val="00F471B2"/>
    <w:rsid w:val="00F552E0"/>
    <w:rsid w:val="00F65801"/>
    <w:rsid w:val="00F76B07"/>
    <w:rsid w:val="00F951CA"/>
    <w:rsid w:val="00FA0833"/>
    <w:rsid w:val="00FA44CB"/>
    <w:rsid w:val="00FB0661"/>
    <w:rsid w:val="00FE0F91"/>
    <w:rsid w:val="108219C2"/>
    <w:rsid w:val="4D5E2493"/>
    <w:rsid w:val="5EA12B9A"/>
    <w:rsid w:val="78A86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eastAsia="楷体_GB2312"/>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unhideWhenUsed/>
    <w:uiPriority w:val="0"/>
    <w:pPr>
      <w:ind w:firstLine="525" w:firstLineChars="210"/>
    </w:pPr>
    <w:rPr>
      <w:spacing w:val="20"/>
      <w:szCs w:val="24"/>
    </w:rPr>
  </w:style>
  <w:style w:type="paragraph" w:styleId="4">
    <w:name w:val="Plain Text"/>
    <w:basedOn w:val="1"/>
    <w:link w:val="15"/>
    <w:qFormat/>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Times New Roman" w:hAnsi="Times New Roman" w:eastAsia="宋体" w:cs="Times New Roman"/>
      <w:sz w:val="18"/>
      <w:szCs w:val="18"/>
    </w:rPr>
  </w:style>
  <w:style w:type="character" w:customStyle="1" w:styleId="11">
    <w:name w:val="页脚 Char"/>
    <w:basedOn w:val="9"/>
    <w:link w:val="6"/>
    <w:uiPriority w:val="99"/>
    <w:rPr>
      <w:rFonts w:ascii="Times New Roman" w:hAnsi="Times New Roman" w:eastAsia="宋体" w:cs="Times New Roman"/>
      <w:sz w:val="18"/>
      <w:szCs w:val="18"/>
    </w:rPr>
  </w:style>
  <w:style w:type="character" w:customStyle="1" w:styleId="12">
    <w:name w:val="批注框文本 Char"/>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正文文本缩进 Char"/>
    <w:basedOn w:val="9"/>
    <w:link w:val="3"/>
    <w:uiPriority w:val="0"/>
    <w:rPr>
      <w:rFonts w:ascii="Times New Roman" w:hAnsi="Times New Roman" w:eastAsia="宋体" w:cs="Times New Roman"/>
      <w:spacing w:val="20"/>
      <w:kern w:val="2"/>
      <w:sz w:val="21"/>
      <w:szCs w:val="24"/>
    </w:rPr>
  </w:style>
  <w:style w:type="character" w:customStyle="1" w:styleId="15">
    <w:name w:val="纯文本 Char"/>
    <w:basedOn w:val="9"/>
    <w:link w:val="4"/>
    <w:uiPriority w:val="0"/>
    <w:rPr>
      <w:rFonts w:ascii="宋体" w:hAnsi="Courier New" w:eastAsia="宋体" w:cs="Times New Roman"/>
      <w:kern w:val="2"/>
      <w:sz w:val="24"/>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uiPriority w:val="0"/>
    <w:pPr>
      <w:spacing w:line="400" w:lineRule="exact"/>
      <w:ind w:left="284" w:right="284"/>
    </w:pPr>
    <w:rPr>
      <w:sz w:val="24"/>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261</Words>
  <Characters>1488</Characters>
  <Lines>12</Lines>
  <Paragraphs>3</Paragraphs>
  <TotalTime>1</TotalTime>
  <ScaleCrop>false</ScaleCrop>
  <LinksUpToDate>false</LinksUpToDate>
  <CharactersWithSpaces>1746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弓长</cp:lastModifiedBy>
  <dcterms:modified xsi:type="dcterms:W3CDTF">2020-12-29T03:01:12Z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