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960"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004" w:type="dxa"/>
            <w:vAlign w:val="center"/>
          </w:tcPr>
          <w:p>
            <w:pPr>
              <w:rPr>
                <w:rFonts w:ascii="楷体" w:hAnsi="楷体" w:eastAsia="楷体"/>
                <w:sz w:val="24"/>
                <w:szCs w:val="24"/>
              </w:rPr>
            </w:pPr>
            <w:r>
              <w:rPr>
                <w:rFonts w:hint="eastAsia" w:ascii="楷体" w:hAnsi="楷体" w:eastAsia="楷体"/>
                <w:sz w:val="24"/>
                <w:szCs w:val="24"/>
              </w:rPr>
              <w:t>受审核部门：仓储部       主管领导：朱宇文        陪同人员：刘勋</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 w:val="24"/>
                <w:szCs w:val="24"/>
              </w:rPr>
            </w:pPr>
          </w:p>
        </w:tc>
        <w:tc>
          <w:tcPr>
            <w:tcW w:w="960"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张磊（远程）</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20</w:t>
            </w:r>
            <w:r>
              <w:rPr>
                <w:rFonts w:hint="eastAsia" w:ascii="楷体" w:hAnsi="楷体" w:eastAsia="楷体"/>
                <w:sz w:val="24"/>
                <w:szCs w:val="24"/>
              </w:rPr>
              <w:t>.12.</w:t>
            </w:r>
            <w:r>
              <w:rPr>
                <w:rFonts w:hint="eastAsia" w:ascii="楷体" w:hAnsi="楷体" w:eastAsia="楷体"/>
                <w:sz w:val="24"/>
                <w:szCs w:val="24"/>
                <w:lang w:val="en-US" w:eastAsia="zh-CN"/>
              </w:rPr>
              <w:t>27</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 w:val="24"/>
                <w:szCs w:val="24"/>
              </w:rPr>
            </w:pPr>
          </w:p>
        </w:tc>
        <w:tc>
          <w:tcPr>
            <w:tcW w:w="960" w:type="dxa"/>
            <w:vMerge w:val="continue"/>
            <w:vAlign w:val="center"/>
          </w:tcPr>
          <w:p>
            <w:pPr>
              <w:rPr>
                <w:rFonts w:ascii="楷体" w:hAnsi="楷体" w:eastAsia="楷体"/>
                <w:sz w:val="24"/>
                <w:szCs w:val="24"/>
              </w:rPr>
            </w:pPr>
          </w:p>
        </w:tc>
        <w:tc>
          <w:tcPr>
            <w:tcW w:w="10004" w:type="dxa"/>
            <w:vAlign w:val="center"/>
          </w:tcPr>
          <w:p>
            <w:pPr>
              <w:rPr>
                <w:rFonts w:ascii="楷体" w:hAnsi="楷体" w:eastAsia="楷体"/>
                <w:sz w:val="24"/>
                <w:szCs w:val="24"/>
              </w:rPr>
            </w:pPr>
            <w:r>
              <w:rPr>
                <w:rFonts w:hint="eastAsia" w:ascii="楷体" w:hAnsi="楷体" w:eastAsia="楷体"/>
                <w:sz w:val="24"/>
                <w:szCs w:val="24"/>
              </w:rPr>
              <w:t>审核条款：</w:t>
            </w:r>
            <w:r>
              <w:rPr>
                <w:rFonts w:hint="eastAsia" w:ascii="宋体" w:hAnsi="宋体" w:cs="Arial"/>
                <w:szCs w:val="21"/>
              </w:rPr>
              <w:t>E/OMS: 5.3组织的岗位、职责和权限、6.2环境与职业健康安全目标、6.1.2环境因素/危险源辨识与评价、8.1运行策划和控制、8.2应急准备和响应</w:t>
            </w:r>
            <w:r>
              <w:rPr>
                <w:rFonts w:hint="eastAsia" w:ascii="楷体" w:hAnsi="楷体" w:eastAsia="楷体"/>
                <w:sz w:val="24"/>
                <w:szCs w:val="24"/>
              </w:rPr>
              <w:t>，</w:t>
            </w:r>
            <w:r>
              <w:rPr>
                <w:rFonts w:ascii="楷体" w:hAnsi="楷体" w:eastAsia="楷体"/>
                <w:sz w:val="24"/>
                <w:szCs w:val="24"/>
              </w:rPr>
              <w:t xml:space="preserve"> </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组织的岗位、职责权限</w:t>
            </w:r>
          </w:p>
        </w:tc>
        <w:tc>
          <w:tcPr>
            <w:tcW w:w="960" w:type="dxa"/>
          </w:tcPr>
          <w:p>
            <w:pPr>
              <w:spacing w:line="280" w:lineRule="exact"/>
              <w:rPr>
                <w:rFonts w:ascii="楷体" w:hAnsi="楷体" w:eastAsia="楷体"/>
                <w:sz w:val="24"/>
                <w:szCs w:val="24"/>
              </w:rPr>
            </w:pPr>
          </w:p>
          <w:p>
            <w:pPr>
              <w:spacing w:line="280" w:lineRule="exact"/>
              <w:rPr>
                <w:rFonts w:ascii="楷体" w:hAnsi="楷体" w:eastAsia="楷体"/>
                <w:sz w:val="24"/>
                <w:szCs w:val="24"/>
              </w:rPr>
            </w:pPr>
            <w:r>
              <w:rPr>
                <w:rFonts w:hint="eastAsia" w:ascii="楷体" w:hAnsi="楷体" w:eastAsia="楷体"/>
                <w:sz w:val="24"/>
                <w:szCs w:val="24"/>
              </w:rPr>
              <w:t>EO5.3</w:t>
            </w:r>
          </w:p>
          <w:p>
            <w:pPr>
              <w:rPr>
                <w:rFonts w:ascii="楷体" w:hAnsi="楷体" w:eastAsia="楷体"/>
                <w:sz w:val="24"/>
                <w:szCs w:val="24"/>
              </w:rPr>
            </w:pPr>
          </w:p>
        </w:tc>
        <w:tc>
          <w:tcPr>
            <w:tcW w:w="10004" w:type="dxa"/>
          </w:tcPr>
          <w:p>
            <w:pPr>
              <w:spacing w:line="360" w:lineRule="auto"/>
              <w:rPr>
                <w:rFonts w:ascii="楷体" w:hAnsi="楷体" w:eastAsia="楷体"/>
                <w:sz w:val="24"/>
                <w:szCs w:val="24"/>
              </w:rPr>
            </w:pPr>
            <w:r>
              <w:rPr>
                <w:rFonts w:hint="eastAsia" w:ascii="楷体" w:hAnsi="楷体" w:eastAsia="楷体"/>
                <w:sz w:val="24"/>
                <w:szCs w:val="24"/>
              </w:rPr>
              <w:t xml:space="preserve">部门负责人：朱宇文 </w:t>
            </w:r>
          </w:p>
          <w:p>
            <w:pPr>
              <w:spacing w:line="360" w:lineRule="auto"/>
              <w:rPr>
                <w:rFonts w:hint="eastAsia" w:ascii="楷体" w:hAnsi="楷体" w:eastAsia="楷体"/>
                <w:sz w:val="24"/>
                <w:szCs w:val="24"/>
              </w:rPr>
            </w:pPr>
            <w:r>
              <w:rPr>
                <w:rFonts w:hint="eastAsia" w:ascii="楷体" w:hAnsi="楷体" w:eastAsia="楷体"/>
                <w:sz w:val="24"/>
                <w:szCs w:val="24"/>
              </w:rPr>
              <w:t>询问主要职责：主要负责仓库物资管理，负责所属区域内产品的标识和产品实现过程中的产品防护，负责仓库环保和安全管理。</w:t>
            </w:r>
          </w:p>
          <w:p>
            <w:pPr>
              <w:spacing w:line="360" w:lineRule="auto"/>
              <w:rPr>
                <w:rFonts w:ascii="楷体" w:hAnsi="楷体" w:eastAsia="楷体"/>
                <w:sz w:val="24"/>
                <w:szCs w:val="24"/>
              </w:rPr>
            </w:pPr>
            <w:r>
              <w:rPr>
                <w:rFonts w:hint="eastAsia" w:ascii="楷体" w:hAnsi="楷体" w:eastAsia="楷体"/>
                <w:sz w:val="24"/>
                <w:szCs w:val="24"/>
              </w:rPr>
              <w:t xml:space="preserve">部门职责清晰、明确。 </w:t>
            </w:r>
          </w:p>
        </w:tc>
        <w:tc>
          <w:tcPr>
            <w:tcW w:w="1585" w:type="dxa"/>
          </w:tcPr>
          <w:p>
            <w:pPr>
              <w:rPr>
                <w:rFonts w:hint="eastAsia" w:ascii="楷体" w:hAnsi="楷体" w:eastAsia="楷体"/>
                <w:sz w:val="24"/>
                <w:szCs w:val="24"/>
                <w:lang w:val="en-US" w:eastAsia="zh-CN"/>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楷体" w:hAnsi="楷体" w:eastAsia="楷体"/>
                <w:sz w:val="24"/>
                <w:szCs w:val="24"/>
              </w:rPr>
            </w:pPr>
            <w:r>
              <w:rPr>
                <w:rFonts w:hint="eastAsia" w:ascii="楷体" w:hAnsi="楷体" w:eastAsia="楷体"/>
                <w:sz w:val="24"/>
                <w:szCs w:val="24"/>
              </w:rPr>
              <w:t>目标、指标管理方案</w:t>
            </w:r>
          </w:p>
          <w:p>
            <w:pPr>
              <w:rPr>
                <w:rFonts w:ascii="楷体" w:hAnsi="楷体" w:eastAsia="楷体"/>
                <w:sz w:val="24"/>
                <w:szCs w:val="24"/>
              </w:rPr>
            </w:pPr>
          </w:p>
        </w:tc>
        <w:tc>
          <w:tcPr>
            <w:tcW w:w="960" w:type="dxa"/>
          </w:tcPr>
          <w:p>
            <w:pPr>
              <w:pStyle w:val="18"/>
              <w:spacing w:line="360" w:lineRule="auto"/>
              <w:rPr>
                <w:rFonts w:ascii="楷体" w:hAnsi="楷体" w:eastAsia="楷体"/>
                <w:bCs w:val="0"/>
                <w:spacing w:val="0"/>
                <w:sz w:val="24"/>
                <w:szCs w:val="24"/>
              </w:rPr>
            </w:pPr>
          </w:p>
          <w:p>
            <w:pPr>
              <w:pStyle w:val="18"/>
              <w:spacing w:line="360" w:lineRule="auto"/>
              <w:rPr>
                <w:rFonts w:ascii="楷体" w:hAnsi="楷体" w:eastAsia="楷体"/>
                <w:bCs w:val="0"/>
                <w:spacing w:val="0"/>
                <w:sz w:val="24"/>
                <w:szCs w:val="24"/>
              </w:rPr>
            </w:pPr>
            <w:r>
              <w:rPr>
                <w:rFonts w:hint="eastAsia" w:ascii="楷体" w:hAnsi="楷体" w:eastAsia="楷体"/>
                <w:bCs w:val="0"/>
                <w:spacing w:val="0"/>
                <w:sz w:val="24"/>
                <w:szCs w:val="24"/>
              </w:rPr>
              <w:t>EO：</w:t>
            </w:r>
          </w:p>
          <w:p>
            <w:pPr>
              <w:pStyle w:val="18"/>
              <w:spacing w:line="360" w:lineRule="auto"/>
              <w:rPr>
                <w:rFonts w:ascii="楷体" w:hAnsi="楷体" w:eastAsia="楷体"/>
                <w:bCs w:val="0"/>
                <w:spacing w:val="0"/>
                <w:sz w:val="24"/>
                <w:szCs w:val="24"/>
              </w:rPr>
            </w:pPr>
            <w:r>
              <w:rPr>
                <w:rFonts w:hint="eastAsia" w:ascii="楷体" w:hAnsi="楷体" w:eastAsia="楷体"/>
                <w:bCs w:val="0"/>
                <w:spacing w:val="0"/>
                <w:sz w:val="24"/>
                <w:szCs w:val="24"/>
              </w:rPr>
              <w:t>6.2.1</w:t>
            </w:r>
          </w:p>
          <w:p>
            <w:pPr>
              <w:pStyle w:val="18"/>
              <w:spacing w:line="360" w:lineRule="auto"/>
              <w:rPr>
                <w:rFonts w:ascii="楷体" w:hAnsi="楷体" w:eastAsia="楷体"/>
                <w:bCs w:val="0"/>
                <w:spacing w:val="0"/>
                <w:sz w:val="24"/>
                <w:szCs w:val="24"/>
              </w:rPr>
            </w:pPr>
            <w:r>
              <w:rPr>
                <w:rFonts w:hint="eastAsia" w:ascii="楷体" w:hAnsi="楷体" w:eastAsia="楷体"/>
                <w:bCs w:val="0"/>
                <w:spacing w:val="0"/>
                <w:sz w:val="24"/>
                <w:szCs w:val="24"/>
              </w:rPr>
              <w:t>6.2.2</w:t>
            </w:r>
          </w:p>
          <w:p>
            <w:pPr>
              <w:pStyle w:val="18"/>
              <w:spacing w:line="360" w:lineRule="auto"/>
              <w:rPr>
                <w:rFonts w:ascii="楷体" w:hAnsi="楷体" w:eastAsia="楷体"/>
                <w:bCs w:val="0"/>
                <w:spacing w:val="0"/>
                <w:sz w:val="24"/>
                <w:szCs w:val="24"/>
              </w:rPr>
            </w:pPr>
          </w:p>
          <w:p>
            <w:pPr>
              <w:pStyle w:val="18"/>
              <w:spacing w:line="360" w:lineRule="auto"/>
              <w:rPr>
                <w:rFonts w:ascii="楷体" w:hAnsi="楷体" w:eastAsia="楷体"/>
                <w:bCs w:val="0"/>
                <w:spacing w:val="0"/>
                <w:sz w:val="24"/>
                <w:szCs w:val="24"/>
              </w:rPr>
            </w:pPr>
          </w:p>
        </w:tc>
        <w:tc>
          <w:tcPr>
            <w:tcW w:w="10004" w:type="dxa"/>
          </w:tcPr>
          <w:p>
            <w:pPr>
              <w:pStyle w:val="2"/>
              <w:tabs>
                <w:tab w:val="left" w:pos="6885"/>
              </w:tabs>
              <w:ind w:left="0" w:leftChars="0" w:right="0" w:rightChars="0" w:firstLine="0" w:firstLineChars="0"/>
              <w:jc w:val="left"/>
              <w:rPr>
                <w:rFonts w:hint="eastAsia" w:ascii="楷体" w:hAnsi="楷体" w:eastAsia="楷体" w:cs="Times New Roman"/>
                <w:kern w:val="2"/>
                <w:sz w:val="24"/>
                <w:szCs w:val="24"/>
                <w:lang w:val="en-US" w:eastAsia="zh-CN" w:bidi="ar-SA"/>
              </w:rPr>
            </w:pPr>
            <w:r>
              <w:rPr>
                <w:rFonts w:hint="eastAsia" w:ascii="楷体" w:hAnsi="楷体" w:eastAsia="楷体" w:cs="Times New Roman"/>
                <w:kern w:val="2"/>
                <w:sz w:val="24"/>
                <w:szCs w:val="24"/>
                <w:lang w:val="en-US" w:eastAsia="zh-CN" w:bidi="ar-SA"/>
              </w:rPr>
              <w:t>提供了《2020年职业健康安全目标达成情况（6-9月）》、《2020年环境目标达成情况（6-9月）》，时间：2020.10.8日。</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仓储部部门目标：</w:t>
            </w:r>
          </w:p>
          <w:tbl>
            <w:tblPr>
              <w:tblStyle w:val="8"/>
              <w:tblW w:w="7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409"/>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35" w:type="dxa"/>
                  <w:shd w:val="clear" w:color="auto" w:fill="auto"/>
                </w:tcPr>
                <w:p>
                  <w:pPr>
                    <w:jc w:val="left"/>
                    <w:rPr>
                      <w:rFonts w:ascii="楷体" w:hAnsi="楷体" w:eastAsia="楷体"/>
                      <w:sz w:val="24"/>
                      <w:szCs w:val="24"/>
                    </w:rPr>
                  </w:pPr>
                  <w:r>
                    <w:rPr>
                      <w:rFonts w:hint="eastAsia" w:ascii="楷体" w:hAnsi="楷体" w:eastAsia="楷体"/>
                      <w:sz w:val="24"/>
                      <w:szCs w:val="24"/>
                    </w:rPr>
                    <w:t>序号</w:t>
                  </w:r>
                </w:p>
              </w:tc>
              <w:tc>
                <w:tcPr>
                  <w:tcW w:w="4409" w:type="dxa"/>
                  <w:shd w:val="clear" w:color="auto" w:fill="auto"/>
                </w:tcPr>
                <w:p>
                  <w:pPr>
                    <w:ind w:firstLine="960" w:firstLineChars="400"/>
                    <w:jc w:val="left"/>
                    <w:rPr>
                      <w:rFonts w:ascii="楷体" w:hAnsi="楷体" w:eastAsia="楷体"/>
                      <w:sz w:val="24"/>
                      <w:szCs w:val="24"/>
                    </w:rPr>
                  </w:pPr>
                  <w:r>
                    <w:rPr>
                      <w:rFonts w:hint="eastAsia" w:ascii="楷体" w:hAnsi="楷体" w:eastAsia="楷体"/>
                      <w:sz w:val="24"/>
                      <w:szCs w:val="24"/>
                    </w:rPr>
                    <w:t>部门目标</w:t>
                  </w:r>
                </w:p>
              </w:tc>
              <w:tc>
                <w:tcPr>
                  <w:tcW w:w="1887"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1</w:t>
                  </w:r>
                </w:p>
              </w:tc>
              <w:tc>
                <w:tcPr>
                  <w:tcW w:w="4409" w:type="dxa"/>
                  <w:shd w:val="clear" w:color="auto" w:fill="auto"/>
                  <w:vAlign w:val="center"/>
                </w:tcPr>
                <w:p>
                  <w:pPr>
                    <w:jc w:val="center"/>
                    <w:rPr>
                      <w:rFonts w:ascii="楷体" w:hAnsi="楷体" w:eastAsia="楷体"/>
                      <w:sz w:val="24"/>
                      <w:szCs w:val="24"/>
                    </w:rPr>
                  </w:pPr>
                  <w:r>
                    <w:rPr>
                      <w:rFonts w:hint="eastAsia" w:ascii="楷体" w:hAnsi="楷体" w:eastAsia="楷体"/>
                      <w:sz w:val="24"/>
                      <w:szCs w:val="24"/>
                    </w:rPr>
                    <w:t>火灾事故0</w:t>
                  </w:r>
                </w:p>
              </w:tc>
              <w:tc>
                <w:tcPr>
                  <w:tcW w:w="1887"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shd w:val="clear" w:color="auto" w:fill="auto"/>
                </w:tcPr>
                <w:p>
                  <w:pPr>
                    <w:ind w:firstLine="240" w:firstLineChars="100"/>
                    <w:jc w:val="left"/>
                    <w:rPr>
                      <w:rFonts w:ascii="楷体" w:hAnsi="楷体" w:eastAsia="楷体"/>
                      <w:sz w:val="24"/>
                      <w:szCs w:val="24"/>
                    </w:rPr>
                  </w:pPr>
                  <w:r>
                    <w:rPr>
                      <w:rFonts w:hint="eastAsia" w:ascii="楷体" w:hAnsi="楷体" w:eastAsia="楷体"/>
                      <w:sz w:val="24"/>
                      <w:szCs w:val="24"/>
                    </w:rPr>
                    <w:t>2</w:t>
                  </w:r>
                </w:p>
              </w:tc>
              <w:tc>
                <w:tcPr>
                  <w:tcW w:w="4409"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轻伤事故0</w:t>
                  </w:r>
                </w:p>
              </w:tc>
              <w:tc>
                <w:tcPr>
                  <w:tcW w:w="1887" w:type="dxa"/>
                  <w:shd w:val="clear" w:color="auto" w:fill="auto"/>
                  <w:vAlign w:val="center"/>
                </w:tcPr>
                <w:p>
                  <w:pPr>
                    <w:jc w:val="center"/>
                    <w:rPr>
                      <w:rFonts w:hint="eastAsia" w:ascii="楷体" w:hAnsi="楷体" w:eastAsia="楷体"/>
                      <w:sz w:val="24"/>
                      <w:szCs w:val="24"/>
                    </w:rPr>
                  </w:pPr>
                  <w:r>
                    <w:rPr>
                      <w:rFonts w:hint="eastAsia" w:ascii="楷体" w:hAnsi="楷体" w:eastAsia="楷体"/>
                      <w:sz w:val="24"/>
                      <w:szCs w:val="24"/>
                    </w:rPr>
                    <w:t>0</w:t>
                  </w:r>
                </w:p>
              </w:tc>
            </w:tr>
          </w:tbl>
          <w:p>
            <w:pPr>
              <w:tabs>
                <w:tab w:val="center" w:pos="3169"/>
              </w:tabs>
              <w:spacing w:line="360" w:lineRule="auto"/>
              <w:jc w:val="left"/>
              <w:rPr>
                <w:rFonts w:ascii="楷体" w:hAnsi="楷体" w:eastAsia="楷体"/>
                <w:sz w:val="24"/>
                <w:szCs w:val="24"/>
              </w:rPr>
            </w:pPr>
            <w:r>
              <w:rPr>
                <w:rFonts w:hint="eastAsia" w:ascii="楷体" w:hAnsi="楷体" w:eastAsia="楷体"/>
                <w:sz w:val="24"/>
                <w:szCs w:val="24"/>
              </w:rPr>
              <w:t>经考核目标能达成。</w:t>
            </w:r>
          </w:p>
        </w:tc>
        <w:tc>
          <w:tcPr>
            <w:tcW w:w="1585" w:type="dxa"/>
          </w:tcPr>
          <w:p>
            <w:pPr>
              <w:rPr>
                <w:rFonts w:ascii="楷体" w:hAnsi="楷体" w:eastAsia="楷体"/>
                <w:sz w:val="24"/>
                <w:szCs w:val="24"/>
              </w:rPr>
            </w:pPr>
            <w:r>
              <w:rPr>
                <w:rFonts w:hint="eastAsia" w:ascii="楷体" w:hAnsi="楷体" w:eastAsia="楷体"/>
                <w:sz w:val="24"/>
                <w:szCs w:val="24"/>
                <w:lang w:val="en-US" w:eastAsia="zh-CN"/>
              </w:rPr>
              <w:t>符合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vAlign w:val="center"/>
          </w:tcPr>
          <w:p>
            <w:pPr>
              <w:spacing w:line="360" w:lineRule="auto"/>
              <w:rPr>
                <w:rFonts w:ascii="楷体" w:hAnsi="楷体" w:eastAsia="楷体" w:cs="楷体"/>
                <w:sz w:val="24"/>
                <w:szCs w:val="24"/>
              </w:rPr>
            </w:pPr>
            <w:r>
              <w:rPr>
                <w:rFonts w:hint="eastAsia" w:ascii="楷体" w:hAnsi="楷体" w:eastAsia="楷体" w:cs="Arial"/>
                <w:sz w:val="24"/>
                <w:szCs w:val="24"/>
              </w:rPr>
              <w:t>环境因素、危险源辨识与评价</w:t>
            </w:r>
          </w:p>
          <w:p>
            <w:pPr>
              <w:rPr>
                <w:rFonts w:ascii="楷体" w:hAnsi="楷体" w:eastAsia="楷体"/>
                <w:sz w:val="24"/>
                <w:szCs w:val="24"/>
              </w:rPr>
            </w:pPr>
          </w:p>
        </w:tc>
        <w:tc>
          <w:tcPr>
            <w:tcW w:w="960"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E/S：</w:t>
            </w:r>
            <w:r>
              <w:rPr>
                <w:rFonts w:hint="eastAsia" w:ascii="楷体" w:hAnsi="楷体" w:eastAsia="楷体" w:cs="Arial"/>
                <w:sz w:val="24"/>
                <w:szCs w:val="24"/>
              </w:rPr>
              <w:t xml:space="preserve">6.1.2 </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tc>
        <w:tc>
          <w:tcPr>
            <w:tcW w:w="10004" w:type="dxa"/>
            <w:vAlign w:val="center"/>
          </w:tcPr>
          <w:p>
            <w:pPr>
              <w:snapToGrid w:val="0"/>
              <w:spacing w:line="360" w:lineRule="auto"/>
              <w:ind w:firstLine="480"/>
              <w:rPr>
                <w:rFonts w:ascii="楷体" w:hAnsi="楷体" w:eastAsia="楷体" w:cs="楷体"/>
                <w:sz w:val="24"/>
                <w:szCs w:val="24"/>
              </w:rPr>
            </w:pPr>
            <w:r>
              <w:rPr>
                <w:rFonts w:hint="eastAsia" w:ascii="楷体" w:hAnsi="楷体" w:eastAsia="楷体" w:cs="楷体"/>
                <w:sz w:val="24"/>
                <w:szCs w:val="24"/>
              </w:rPr>
              <w:t>仓储部根据</w:t>
            </w:r>
            <w:r>
              <w:rPr>
                <w:rFonts w:hint="eastAsia" w:ascii="楷体" w:hAnsi="楷体" w:eastAsia="楷体" w:cs="楷体"/>
                <w:color w:val="000000"/>
                <w:sz w:val="24"/>
                <w:szCs w:val="24"/>
              </w:rPr>
              <w:t>《环境因素</w:t>
            </w:r>
            <w:r>
              <w:rPr>
                <w:rFonts w:hint="eastAsia" w:ascii="楷体" w:hAnsi="楷体" w:eastAsia="楷体" w:cs="楷体"/>
                <w:bCs/>
                <w:sz w:val="24"/>
                <w:szCs w:val="24"/>
              </w:rPr>
              <w:t>识别、评价与更新控制程序JR-QP-13》、《危险源辨识与风险评价及控制措施确定程序JR-QP-14》</w:t>
            </w:r>
            <w:r>
              <w:rPr>
                <w:rFonts w:hint="eastAsia" w:ascii="楷体" w:hAnsi="楷体" w:eastAsia="楷体" w:cs="楷体"/>
                <w:sz w:val="24"/>
                <w:szCs w:val="24"/>
              </w:rPr>
              <w:t>。按照办公过程及仓储过程对环境因素、危险源进行了辨识，辨识时考虑了三种时态：过去、现在和将来，和三种状态：正常、异常和紧急。</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查“环境因素识别表”，识别了本部门在办公、仓储等各有关过程的环境因素，包括水电消耗、办公纸张消耗、潜在火灾、废弃消防器材产生等环境因素。</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查《重要环境因素清单》，涉及仓储部重要环境因素，包括：火灾。</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控制措施：固废分类存放、培训教育，配备消防器材、制定应急预案等措施。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查“危险源辨识及风险评价表”，识别了办公电器漏电触电，缺少运动造成颈椎、腰椎疲劳，物料违规摆放过高产生的物体打击、危废与其他物品混放产生的火灾等危险源。</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查《重要危险源清单》，涉及本部门的重要危险源包括：触电、火灾等。</w:t>
            </w:r>
          </w:p>
          <w:p>
            <w:pPr>
              <w:spacing w:line="360" w:lineRule="auto"/>
              <w:ind w:firstLine="468"/>
              <w:rPr>
                <w:rFonts w:hint="eastAsia" w:ascii="楷体" w:hAnsi="楷体" w:eastAsia="楷体" w:cs="楷体"/>
                <w:sz w:val="24"/>
                <w:szCs w:val="24"/>
              </w:rPr>
            </w:pPr>
            <w:r>
              <w:rPr>
                <w:rFonts w:hint="eastAsia" w:ascii="楷体" w:hAnsi="楷体" w:eastAsia="楷体" w:cs="楷体"/>
                <w:sz w:val="24"/>
                <w:szCs w:val="24"/>
              </w:rPr>
              <w:t>危险源控制执行管理方案、配备消防器材、日常检查、培训教育、应急预案等运行控制措施。</w:t>
            </w:r>
          </w:p>
          <w:p>
            <w:pPr>
              <w:spacing w:line="360" w:lineRule="auto"/>
              <w:ind w:firstLine="468"/>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查看《环境目标指标管理方案》、《职业健康安全管理方案》</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针对火灾：</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按规定处置制定火灾预案及消防管理规定，加强人员消防意识，防患于未来；                  </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2.实行应急准备演练及试验，一旦发生可立即疏散及抢救。</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针对触电：</w:t>
            </w:r>
          </w:p>
          <w:p>
            <w:pPr>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1）控电箱实施100%上锁及挂牌的安全管理；</w:t>
            </w:r>
          </w:p>
          <w:p>
            <w:pPr>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2）确保每年对现场作业人员至少进行一次用电知识培训；</w:t>
            </w:r>
          </w:p>
          <w:p>
            <w:pPr>
              <w:spacing w:line="360" w:lineRule="auto"/>
              <w:ind w:firstLine="360" w:firstLineChars="150"/>
              <w:rPr>
                <w:rFonts w:hint="eastAsia" w:ascii="楷体" w:hAnsi="楷体" w:eastAsia="楷体" w:cs="楷体"/>
                <w:sz w:val="24"/>
                <w:szCs w:val="24"/>
              </w:rPr>
            </w:pPr>
            <w:r>
              <w:rPr>
                <w:rFonts w:hint="eastAsia" w:ascii="楷体" w:hAnsi="楷体" w:eastAsia="楷体" w:cs="楷体"/>
                <w:sz w:val="24"/>
                <w:szCs w:val="24"/>
              </w:rPr>
              <w:t>3）每日班前会步置和检查生产、质量、安全；</w:t>
            </w:r>
          </w:p>
          <w:p>
            <w:pPr>
              <w:spacing w:line="360" w:lineRule="auto"/>
              <w:ind w:firstLine="360" w:firstLineChars="150"/>
              <w:rPr>
                <w:rFonts w:ascii="楷体" w:hAnsi="楷体" w:eastAsia="楷体" w:cs="楷体"/>
                <w:sz w:val="24"/>
                <w:szCs w:val="24"/>
              </w:rPr>
            </w:pPr>
            <w:r>
              <w:rPr>
                <w:rFonts w:hint="eastAsia" w:ascii="楷体" w:hAnsi="楷体" w:eastAsia="楷体" w:cs="楷体"/>
                <w:sz w:val="24"/>
                <w:szCs w:val="24"/>
              </w:rPr>
              <w:t>4）各种用电机械必须做到保护接零,确保操作安全。 部门识别和评价基本充分，符合规定要求。</w:t>
            </w:r>
          </w:p>
        </w:tc>
        <w:tc>
          <w:tcPr>
            <w:tcW w:w="1585" w:type="dxa"/>
          </w:tcPr>
          <w:p>
            <w:pPr>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楷体" w:hAnsi="楷体" w:eastAsia="楷体"/>
                <w:sz w:val="24"/>
                <w:szCs w:val="24"/>
              </w:rPr>
            </w:pPr>
            <w:r>
              <w:rPr>
                <w:rFonts w:hint="eastAsia" w:ascii="楷体" w:hAnsi="楷体" w:eastAsia="楷体" w:cs="Arial"/>
                <w:sz w:val="24"/>
                <w:szCs w:val="24"/>
              </w:rPr>
              <w:t>运行策划和控制</w:t>
            </w:r>
          </w:p>
        </w:tc>
        <w:tc>
          <w:tcPr>
            <w:tcW w:w="960" w:type="dxa"/>
            <w:vAlign w:val="center"/>
          </w:tcPr>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r>
              <w:rPr>
                <w:rFonts w:hint="eastAsia" w:ascii="楷体" w:hAnsi="楷体" w:eastAsia="楷体" w:cs="楷体"/>
                <w:sz w:val="24"/>
                <w:szCs w:val="24"/>
              </w:rPr>
              <w:t>E/S：</w:t>
            </w:r>
            <w:r>
              <w:rPr>
                <w:rFonts w:hint="eastAsia" w:ascii="楷体" w:hAnsi="楷体" w:eastAsia="楷体" w:cs="Arial"/>
                <w:sz w:val="24"/>
                <w:szCs w:val="24"/>
              </w:rPr>
              <w:t>8.1</w:t>
            </w:r>
          </w:p>
          <w:p>
            <w:pPr>
              <w:spacing w:line="360" w:lineRule="auto"/>
              <w:rPr>
                <w:rFonts w:ascii="楷体" w:hAnsi="楷体" w:eastAsia="楷体" w:cs="楷体"/>
                <w:sz w:val="24"/>
                <w:szCs w:val="24"/>
              </w:rPr>
            </w:pPr>
          </w:p>
          <w:p>
            <w:pPr>
              <w:spacing w:line="360" w:lineRule="auto"/>
              <w:rPr>
                <w:rFonts w:ascii="楷体" w:hAnsi="楷体" w:eastAsia="楷体" w:cs="楷体"/>
                <w:sz w:val="24"/>
                <w:szCs w:val="24"/>
              </w:rPr>
            </w:pPr>
          </w:p>
        </w:tc>
        <w:tc>
          <w:tcPr>
            <w:tcW w:w="10004" w:type="dxa"/>
            <w:vAlign w:val="center"/>
          </w:tcPr>
          <w:p>
            <w:pPr>
              <w:spacing w:line="360" w:lineRule="auto"/>
              <w:rPr>
                <w:rFonts w:ascii="楷体" w:hAnsi="楷体" w:eastAsia="楷体" w:cs="楷体"/>
                <w:sz w:val="24"/>
                <w:szCs w:val="24"/>
              </w:rPr>
            </w:pPr>
            <w:r>
              <w:rPr>
                <w:rFonts w:hint="eastAsia" w:ascii="楷体" w:hAnsi="楷体" w:eastAsia="楷体" w:cs="楷体"/>
                <w:sz w:val="24"/>
                <w:szCs w:val="24"/>
              </w:rPr>
              <w:t>1.实施</w:t>
            </w:r>
            <w:r>
              <w:rPr>
                <w:rFonts w:hint="eastAsia" w:ascii="楷体" w:hAnsi="楷体" w:eastAsia="楷体"/>
                <w:sz w:val="24"/>
                <w:szCs w:val="24"/>
              </w:rPr>
              <w:t>《QP-15 环境运行控制程序》、《QP-16职业健康安全运行控制程序》、《QP-</w:t>
            </w:r>
            <w:r>
              <w:rPr>
                <w:rFonts w:hint="eastAsia" w:ascii="楷体" w:hAnsi="楷体" w:eastAsia="楷体"/>
                <w:sz w:val="24"/>
                <w:szCs w:val="24"/>
                <w:lang w:val="en-US" w:eastAsia="zh-CN"/>
              </w:rPr>
              <w:t>17</w:t>
            </w:r>
            <w:r>
              <w:rPr>
                <w:rFonts w:hint="eastAsia" w:ascii="楷体" w:hAnsi="楷体" w:eastAsia="楷体"/>
                <w:sz w:val="24"/>
                <w:szCs w:val="24"/>
              </w:rPr>
              <w:t>安全管理控制程序》</w:t>
            </w:r>
            <w:r>
              <w:rPr>
                <w:rFonts w:hint="eastAsia" w:ascii="楷体" w:hAnsi="楷体" w:eastAsia="楷体" w:cs="楷体"/>
                <w:sz w:val="24"/>
                <w:szCs w:val="24"/>
              </w:rPr>
              <w:t>等环境、职业健康安全控制程序和管理制度。</w:t>
            </w:r>
          </w:p>
          <w:p>
            <w:pPr>
              <w:spacing w:line="360" w:lineRule="auto"/>
              <w:rPr>
                <w:rFonts w:ascii="楷体" w:hAnsi="楷体" w:eastAsia="楷体" w:cs="楷体"/>
                <w:sz w:val="24"/>
                <w:szCs w:val="24"/>
              </w:rPr>
            </w:pPr>
            <w:r>
              <w:rPr>
                <w:rFonts w:hint="eastAsia" w:ascii="楷体" w:hAnsi="楷体" w:eastAsia="楷体" w:cs="楷体"/>
                <w:sz w:val="24"/>
                <w:szCs w:val="24"/>
              </w:rPr>
              <w:t>2.本部门办公中所使用的纸张双面打印，产生的废弃物，由行政部统一处理。</w:t>
            </w:r>
          </w:p>
          <w:p>
            <w:pPr>
              <w:spacing w:line="360" w:lineRule="auto"/>
              <w:rPr>
                <w:rFonts w:ascii="楷体" w:hAnsi="楷体" w:eastAsia="楷体" w:cs="楷体"/>
                <w:sz w:val="24"/>
                <w:szCs w:val="24"/>
              </w:rPr>
            </w:pPr>
            <w:r>
              <w:rPr>
                <w:rFonts w:hint="eastAsia" w:ascii="楷体" w:hAnsi="楷体" w:eastAsia="楷体" w:cs="楷体"/>
                <w:sz w:val="24"/>
                <w:szCs w:val="24"/>
              </w:rPr>
              <w:t>3.查见办公现场、仓库区域配备了灭火器，现场见灭火器完好有效；提供了消防器材完好性检查记录，每月由专人负责检查。</w:t>
            </w:r>
          </w:p>
          <w:p>
            <w:pPr>
              <w:spacing w:line="360" w:lineRule="auto"/>
              <w:rPr>
                <w:rFonts w:ascii="楷体" w:hAnsi="楷体" w:eastAsia="楷体" w:cs="楷体"/>
                <w:sz w:val="24"/>
                <w:szCs w:val="24"/>
              </w:rPr>
            </w:pPr>
            <w:r>
              <w:rPr>
                <w:rFonts w:hint="eastAsia" w:ascii="楷体" w:hAnsi="楷体" w:eastAsia="楷体" w:cs="楷体"/>
                <w:sz w:val="24"/>
                <w:szCs w:val="24"/>
              </w:rPr>
              <w:t>4.仓储部人员进入车间/仓库时戴口罩减少粉尘伤害。</w:t>
            </w:r>
          </w:p>
          <w:p>
            <w:pPr>
              <w:spacing w:line="360" w:lineRule="auto"/>
              <w:rPr>
                <w:rFonts w:ascii="楷体" w:hAnsi="楷体" w:eastAsia="楷体" w:cs="楷体"/>
                <w:sz w:val="24"/>
                <w:szCs w:val="24"/>
              </w:rPr>
            </w:pPr>
            <w:r>
              <w:rPr>
                <w:rFonts w:hint="eastAsia" w:ascii="楷体" w:hAnsi="楷体" w:eastAsia="楷体" w:cs="楷体"/>
                <w:sz w:val="24"/>
                <w:szCs w:val="24"/>
              </w:rPr>
              <w:t>5.要求顾客运输司机进入公司所处区域时要求减速慢行，禁止长时间鸣笛，搬运货物时要求轻拿轻放，注意安全。</w:t>
            </w:r>
          </w:p>
          <w:p>
            <w:pPr>
              <w:spacing w:line="360" w:lineRule="auto"/>
              <w:rPr>
                <w:rFonts w:hint="eastAsia" w:ascii="楷体" w:hAnsi="楷体" w:eastAsia="楷体" w:cs="楷体"/>
                <w:sz w:val="24"/>
                <w:szCs w:val="24"/>
              </w:rPr>
            </w:pPr>
            <w:r>
              <w:rPr>
                <w:rFonts w:hint="eastAsia" w:ascii="楷体" w:hAnsi="楷体" w:eastAsia="楷体" w:cs="楷体"/>
                <w:sz w:val="24"/>
                <w:szCs w:val="24"/>
              </w:rPr>
              <w:t>6.现场查看仓库：货物整齐码放，消防通道畅通，现场有禁烟、禁火警示标识，有分类垃圾箱，配备了手提式干粉灭火器，经现场查看均在有效期内，但是有遮挡物，现场批评指正。</w:t>
            </w:r>
          </w:p>
          <w:p>
            <w:pPr>
              <w:spacing w:line="360" w:lineRule="auto"/>
              <w:rPr>
                <w:rFonts w:ascii="楷体" w:hAnsi="楷体" w:eastAsia="楷体" w:cs="楷体"/>
                <w:sz w:val="24"/>
                <w:szCs w:val="24"/>
              </w:rPr>
            </w:pPr>
            <w:r>
              <w:rPr>
                <w:rFonts w:hint="eastAsia" w:ascii="楷体" w:hAnsi="楷体" w:eastAsia="楷体" w:cs="楷体"/>
                <w:sz w:val="24"/>
                <w:szCs w:val="24"/>
              </w:rPr>
              <w:t>7.仓库用电线路规范无临时用电，无私拉乱扯，无使用大功率电器等异常现象。</w:t>
            </w:r>
          </w:p>
          <w:p>
            <w:pPr>
              <w:spacing w:line="360" w:lineRule="auto"/>
              <w:ind w:firstLine="480" w:firstLineChars="200"/>
              <w:rPr>
                <w:rFonts w:ascii="楷体" w:hAnsi="楷体" w:eastAsia="楷体" w:cs="楷体"/>
                <w:sz w:val="24"/>
                <w:szCs w:val="24"/>
              </w:rPr>
            </w:pPr>
            <w:r>
              <w:rPr>
                <w:rFonts w:ascii="楷体" w:hAnsi="楷体" w:eastAsia="楷体" w:cs="楷体"/>
                <w:sz w:val="24"/>
                <w:szCs w:val="24"/>
              </w:rPr>
              <w:t>仓储部在环保和安全管理方面基本符合规定要求</w:t>
            </w:r>
            <w:r>
              <w:rPr>
                <w:rFonts w:hint="eastAsia" w:ascii="楷体" w:hAnsi="楷体" w:eastAsia="楷体" w:cs="楷体"/>
                <w:sz w:val="24"/>
                <w:szCs w:val="24"/>
              </w:rPr>
              <w:t>。</w:t>
            </w:r>
          </w:p>
        </w:tc>
        <w:tc>
          <w:tcPr>
            <w:tcW w:w="1585" w:type="dxa"/>
          </w:tcPr>
          <w:p>
            <w:pPr>
              <w:rPr>
                <w:rFonts w:ascii="楷体" w:hAnsi="楷体" w:eastAsia="楷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rPr>
                <w:rFonts w:ascii="楷体" w:hAnsi="楷体" w:eastAsia="楷体" w:cs="楷体"/>
                <w:sz w:val="24"/>
                <w:szCs w:val="24"/>
              </w:rPr>
            </w:pPr>
            <w:bookmarkStart w:id="1" w:name="_GoBack" w:colFirst="3" w:colLast="3"/>
            <w:r>
              <w:rPr>
                <w:rFonts w:hint="eastAsia" w:ascii="楷体" w:hAnsi="楷体" w:eastAsia="楷体" w:cs="楷体"/>
                <w:sz w:val="24"/>
                <w:szCs w:val="24"/>
              </w:rPr>
              <w:t>应急准备和响应</w:t>
            </w:r>
          </w:p>
        </w:tc>
        <w:tc>
          <w:tcPr>
            <w:tcW w:w="960" w:type="dxa"/>
            <w:vAlign w:val="center"/>
          </w:tcPr>
          <w:p>
            <w:pPr>
              <w:rPr>
                <w:rFonts w:ascii="楷体" w:hAnsi="楷体" w:eastAsia="楷体" w:cs="楷体"/>
                <w:sz w:val="24"/>
                <w:szCs w:val="24"/>
              </w:rPr>
            </w:pPr>
            <w:r>
              <w:rPr>
                <w:rFonts w:hint="eastAsia" w:ascii="楷体" w:hAnsi="楷体" w:eastAsia="楷体" w:cs="楷体"/>
                <w:sz w:val="24"/>
                <w:szCs w:val="24"/>
              </w:rPr>
              <w:t>E/O8.2</w:t>
            </w:r>
          </w:p>
          <w:p>
            <w:pPr>
              <w:rPr>
                <w:rFonts w:ascii="楷体" w:hAnsi="楷体" w:eastAsia="楷体" w:cs="楷体"/>
                <w:sz w:val="24"/>
                <w:szCs w:val="24"/>
              </w:rPr>
            </w:pPr>
          </w:p>
        </w:tc>
        <w:tc>
          <w:tcPr>
            <w:tcW w:w="10004"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公司编制了：“应急准备和响应控制程序”来减少或消除由于安全紧急情况或意外事件和环境事故或紧急情况污染环境所造成的损失，做出应急准备和响应。</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20</w:t>
            </w:r>
            <w:r>
              <w:rPr>
                <w:rFonts w:hint="eastAsia" w:ascii="楷体" w:hAnsi="楷体" w:eastAsia="楷体" w:cs="楷体"/>
                <w:sz w:val="24"/>
                <w:szCs w:val="24"/>
                <w:lang w:val="en-US" w:eastAsia="zh-CN"/>
              </w:rPr>
              <w:t>20</w:t>
            </w:r>
            <w:r>
              <w:rPr>
                <w:rFonts w:hint="eastAsia" w:ascii="楷体" w:hAnsi="楷体" w:eastAsia="楷体" w:cs="楷体"/>
                <w:sz w:val="24"/>
                <w:szCs w:val="24"/>
              </w:rPr>
              <w:t>.7.</w:t>
            </w:r>
            <w:r>
              <w:rPr>
                <w:rFonts w:hint="eastAsia" w:ascii="楷体" w:hAnsi="楷体" w:eastAsia="楷体" w:cs="楷体"/>
                <w:sz w:val="24"/>
                <w:szCs w:val="24"/>
                <w:lang w:val="en-US" w:eastAsia="zh-CN"/>
              </w:rPr>
              <w:t>23</w:t>
            </w:r>
            <w:r>
              <w:rPr>
                <w:rFonts w:hint="eastAsia" w:ascii="楷体" w:hAnsi="楷体" w:eastAsia="楷体" w:cs="楷体"/>
                <w:sz w:val="24"/>
                <w:szCs w:val="24"/>
              </w:rPr>
              <w:t>日参加了公司的消防应急演练。</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查见办公现场、仓库区域配备了灭火器、消防栓，完好有效；提供了消防器材完好性检查记录，每月由专人负责检查。</w:t>
            </w:r>
          </w:p>
        </w:tc>
        <w:tc>
          <w:tcPr>
            <w:tcW w:w="1585" w:type="dxa"/>
          </w:tcPr>
          <w:p>
            <w:r>
              <w:rPr>
                <w:rFonts w:hint="eastAsia" w:ascii="楷体" w:hAnsi="楷体" w:eastAsia="楷体"/>
                <w:sz w:val="24"/>
                <w:szCs w:val="24"/>
                <w:lang w:val="en-US" w:eastAsia="zh-CN"/>
              </w:rPr>
              <w:t>符合</w:t>
            </w: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47AAF"/>
    <w:rsid w:val="00051955"/>
    <w:rsid w:val="000649D3"/>
    <w:rsid w:val="0007191D"/>
    <w:rsid w:val="000727B1"/>
    <w:rsid w:val="000776B8"/>
    <w:rsid w:val="00085E28"/>
    <w:rsid w:val="000A1249"/>
    <w:rsid w:val="000A6668"/>
    <w:rsid w:val="000B5635"/>
    <w:rsid w:val="000C203B"/>
    <w:rsid w:val="000E7363"/>
    <w:rsid w:val="000F1E5D"/>
    <w:rsid w:val="000F3A16"/>
    <w:rsid w:val="000F5DD5"/>
    <w:rsid w:val="00102A1B"/>
    <w:rsid w:val="00112325"/>
    <w:rsid w:val="00141F69"/>
    <w:rsid w:val="0015197C"/>
    <w:rsid w:val="001604F7"/>
    <w:rsid w:val="00186D28"/>
    <w:rsid w:val="001973D3"/>
    <w:rsid w:val="001A144D"/>
    <w:rsid w:val="001A2D7F"/>
    <w:rsid w:val="001C1470"/>
    <w:rsid w:val="001D5E77"/>
    <w:rsid w:val="001F4540"/>
    <w:rsid w:val="002133AF"/>
    <w:rsid w:val="00223BA4"/>
    <w:rsid w:val="00242DBB"/>
    <w:rsid w:val="00243882"/>
    <w:rsid w:val="00245A4F"/>
    <w:rsid w:val="00280857"/>
    <w:rsid w:val="00292365"/>
    <w:rsid w:val="002C6903"/>
    <w:rsid w:val="002C6B30"/>
    <w:rsid w:val="002D2E7C"/>
    <w:rsid w:val="00300426"/>
    <w:rsid w:val="00322216"/>
    <w:rsid w:val="00322A4F"/>
    <w:rsid w:val="00332C66"/>
    <w:rsid w:val="00337922"/>
    <w:rsid w:val="003403D4"/>
    <w:rsid w:val="00340867"/>
    <w:rsid w:val="0034105A"/>
    <w:rsid w:val="003468E2"/>
    <w:rsid w:val="003706AE"/>
    <w:rsid w:val="00380837"/>
    <w:rsid w:val="00385CC6"/>
    <w:rsid w:val="00390403"/>
    <w:rsid w:val="00397223"/>
    <w:rsid w:val="003C3052"/>
    <w:rsid w:val="003D56C6"/>
    <w:rsid w:val="003F42F4"/>
    <w:rsid w:val="003F494F"/>
    <w:rsid w:val="00407AE2"/>
    <w:rsid w:val="00410914"/>
    <w:rsid w:val="004109AD"/>
    <w:rsid w:val="004273E5"/>
    <w:rsid w:val="0045526A"/>
    <w:rsid w:val="00461C50"/>
    <w:rsid w:val="00480D43"/>
    <w:rsid w:val="0048397C"/>
    <w:rsid w:val="0048713B"/>
    <w:rsid w:val="004B34F3"/>
    <w:rsid w:val="004C576C"/>
    <w:rsid w:val="004E4D94"/>
    <w:rsid w:val="004E7C2C"/>
    <w:rsid w:val="005117D9"/>
    <w:rsid w:val="0052085D"/>
    <w:rsid w:val="00526592"/>
    <w:rsid w:val="00533917"/>
    <w:rsid w:val="00536930"/>
    <w:rsid w:val="005537A3"/>
    <w:rsid w:val="00561442"/>
    <w:rsid w:val="00564E53"/>
    <w:rsid w:val="00567BA6"/>
    <w:rsid w:val="005748AF"/>
    <w:rsid w:val="00575289"/>
    <w:rsid w:val="005830C0"/>
    <w:rsid w:val="00583277"/>
    <w:rsid w:val="00591256"/>
    <w:rsid w:val="005A0BCF"/>
    <w:rsid w:val="005C4113"/>
    <w:rsid w:val="005D2815"/>
    <w:rsid w:val="005E1775"/>
    <w:rsid w:val="005F35CC"/>
    <w:rsid w:val="006024F1"/>
    <w:rsid w:val="0061673E"/>
    <w:rsid w:val="006302B4"/>
    <w:rsid w:val="006373D8"/>
    <w:rsid w:val="00644FE2"/>
    <w:rsid w:val="006611F6"/>
    <w:rsid w:val="00664CE0"/>
    <w:rsid w:val="00671079"/>
    <w:rsid w:val="0067640C"/>
    <w:rsid w:val="006926AA"/>
    <w:rsid w:val="00695256"/>
    <w:rsid w:val="006A10C5"/>
    <w:rsid w:val="006A16FB"/>
    <w:rsid w:val="006A2318"/>
    <w:rsid w:val="006B6C59"/>
    <w:rsid w:val="006E678B"/>
    <w:rsid w:val="006E7CA9"/>
    <w:rsid w:val="006F25CC"/>
    <w:rsid w:val="006F390D"/>
    <w:rsid w:val="006F5918"/>
    <w:rsid w:val="00723B0E"/>
    <w:rsid w:val="0073687E"/>
    <w:rsid w:val="0074167B"/>
    <w:rsid w:val="007421B3"/>
    <w:rsid w:val="00744B02"/>
    <w:rsid w:val="00765A1B"/>
    <w:rsid w:val="007757F3"/>
    <w:rsid w:val="00776414"/>
    <w:rsid w:val="007814AB"/>
    <w:rsid w:val="007868DC"/>
    <w:rsid w:val="00790381"/>
    <w:rsid w:val="00790B34"/>
    <w:rsid w:val="007976C5"/>
    <w:rsid w:val="007B5463"/>
    <w:rsid w:val="007E036C"/>
    <w:rsid w:val="007E6AEB"/>
    <w:rsid w:val="00801FFB"/>
    <w:rsid w:val="0080239D"/>
    <w:rsid w:val="00807703"/>
    <w:rsid w:val="008102A5"/>
    <w:rsid w:val="00812B35"/>
    <w:rsid w:val="00826648"/>
    <w:rsid w:val="00835E75"/>
    <w:rsid w:val="00864A32"/>
    <w:rsid w:val="008663A6"/>
    <w:rsid w:val="008668B3"/>
    <w:rsid w:val="0088069D"/>
    <w:rsid w:val="00885E0F"/>
    <w:rsid w:val="0089001A"/>
    <w:rsid w:val="008973EE"/>
    <w:rsid w:val="008A7726"/>
    <w:rsid w:val="008B19BF"/>
    <w:rsid w:val="008C2E81"/>
    <w:rsid w:val="008F0FD7"/>
    <w:rsid w:val="008F14CD"/>
    <w:rsid w:val="00901436"/>
    <w:rsid w:val="009118E1"/>
    <w:rsid w:val="0091791C"/>
    <w:rsid w:val="00930F93"/>
    <w:rsid w:val="00940007"/>
    <w:rsid w:val="00941F52"/>
    <w:rsid w:val="00943E40"/>
    <w:rsid w:val="009449B9"/>
    <w:rsid w:val="009462AD"/>
    <w:rsid w:val="00947067"/>
    <w:rsid w:val="00971600"/>
    <w:rsid w:val="009756DE"/>
    <w:rsid w:val="00995CA6"/>
    <w:rsid w:val="009973B4"/>
    <w:rsid w:val="009A7172"/>
    <w:rsid w:val="009C0423"/>
    <w:rsid w:val="009E060E"/>
    <w:rsid w:val="009E17E1"/>
    <w:rsid w:val="009E73E2"/>
    <w:rsid w:val="009F3A73"/>
    <w:rsid w:val="009F7EED"/>
    <w:rsid w:val="00A11949"/>
    <w:rsid w:val="00A14992"/>
    <w:rsid w:val="00A23982"/>
    <w:rsid w:val="00A32D20"/>
    <w:rsid w:val="00A40C7F"/>
    <w:rsid w:val="00A411FD"/>
    <w:rsid w:val="00A66F98"/>
    <w:rsid w:val="00A67098"/>
    <w:rsid w:val="00A73192"/>
    <w:rsid w:val="00A87FDB"/>
    <w:rsid w:val="00A903DF"/>
    <w:rsid w:val="00AA0580"/>
    <w:rsid w:val="00AA0FCE"/>
    <w:rsid w:val="00AA2580"/>
    <w:rsid w:val="00AB69B9"/>
    <w:rsid w:val="00AC2F80"/>
    <w:rsid w:val="00AE03BC"/>
    <w:rsid w:val="00AE2FB7"/>
    <w:rsid w:val="00AE31B0"/>
    <w:rsid w:val="00AE3D74"/>
    <w:rsid w:val="00AF0AAB"/>
    <w:rsid w:val="00AF7268"/>
    <w:rsid w:val="00B209B2"/>
    <w:rsid w:val="00B2785D"/>
    <w:rsid w:val="00B6522D"/>
    <w:rsid w:val="00B80995"/>
    <w:rsid w:val="00B96A3A"/>
    <w:rsid w:val="00B971F3"/>
    <w:rsid w:val="00BA5C1D"/>
    <w:rsid w:val="00BB3F29"/>
    <w:rsid w:val="00BE11F4"/>
    <w:rsid w:val="00BE1F6D"/>
    <w:rsid w:val="00BF597E"/>
    <w:rsid w:val="00C24854"/>
    <w:rsid w:val="00C309B7"/>
    <w:rsid w:val="00C35CBA"/>
    <w:rsid w:val="00C51A36"/>
    <w:rsid w:val="00C55228"/>
    <w:rsid w:val="00C66B45"/>
    <w:rsid w:val="00C7541C"/>
    <w:rsid w:val="00CA6346"/>
    <w:rsid w:val="00CC54E3"/>
    <w:rsid w:val="00CD1B31"/>
    <w:rsid w:val="00CD445C"/>
    <w:rsid w:val="00CD5B29"/>
    <w:rsid w:val="00CD645C"/>
    <w:rsid w:val="00CE17D7"/>
    <w:rsid w:val="00CE315A"/>
    <w:rsid w:val="00CF0F5A"/>
    <w:rsid w:val="00CF431E"/>
    <w:rsid w:val="00D0019C"/>
    <w:rsid w:val="00D061C9"/>
    <w:rsid w:val="00D06F59"/>
    <w:rsid w:val="00D12E96"/>
    <w:rsid w:val="00D376F5"/>
    <w:rsid w:val="00D51D07"/>
    <w:rsid w:val="00D76F42"/>
    <w:rsid w:val="00D8388C"/>
    <w:rsid w:val="00DB2CD2"/>
    <w:rsid w:val="00DB2E75"/>
    <w:rsid w:val="00DC229F"/>
    <w:rsid w:val="00DF05F0"/>
    <w:rsid w:val="00E0500F"/>
    <w:rsid w:val="00E25BDD"/>
    <w:rsid w:val="00E413AC"/>
    <w:rsid w:val="00E514A5"/>
    <w:rsid w:val="00E53C03"/>
    <w:rsid w:val="00E62A2C"/>
    <w:rsid w:val="00E70F0E"/>
    <w:rsid w:val="00E75EFE"/>
    <w:rsid w:val="00E8374D"/>
    <w:rsid w:val="00E9004E"/>
    <w:rsid w:val="00E9637F"/>
    <w:rsid w:val="00EA6B1F"/>
    <w:rsid w:val="00EB0164"/>
    <w:rsid w:val="00EC2E60"/>
    <w:rsid w:val="00ED0F62"/>
    <w:rsid w:val="00ED4FA5"/>
    <w:rsid w:val="00EE27E5"/>
    <w:rsid w:val="00EF4FD7"/>
    <w:rsid w:val="00F01694"/>
    <w:rsid w:val="00F42184"/>
    <w:rsid w:val="00F471B2"/>
    <w:rsid w:val="00F552E0"/>
    <w:rsid w:val="00F65801"/>
    <w:rsid w:val="00F76B07"/>
    <w:rsid w:val="00FA0833"/>
    <w:rsid w:val="00FA44CB"/>
    <w:rsid w:val="00FB0661"/>
    <w:rsid w:val="00FE0F91"/>
    <w:rsid w:val="108219C2"/>
    <w:rsid w:val="16EA1306"/>
    <w:rsid w:val="5EA12B9A"/>
    <w:rsid w:val="689B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eastAsia="楷体_GB2312"/>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4"/>
    <w:unhideWhenUsed/>
    <w:uiPriority w:val="0"/>
    <w:pPr>
      <w:ind w:firstLine="525" w:firstLineChars="210"/>
    </w:pPr>
    <w:rPr>
      <w:spacing w:val="20"/>
      <w:szCs w:val="24"/>
    </w:rPr>
  </w:style>
  <w:style w:type="paragraph" w:styleId="4">
    <w:name w:val="Plain Text"/>
    <w:basedOn w:val="1"/>
    <w:link w:val="15"/>
    <w:qFormat/>
    <w:uiPriority w:val="0"/>
    <w:rPr>
      <w:rFonts w:ascii="宋体" w:hAnsi="Courier New"/>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rFonts w:ascii="Times New Roman" w:hAnsi="Times New Roman" w:eastAsia="宋体" w:cs="Times New Roman"/>
      <w:sz w:val="18"/>
      <w:szCs w:val="18"/>
    </w:rPr>
  </w:style>
  <w:style w:type="character" w:customStyle="1" w:styleId="11">
    <w:name w:val="页脚 Char"/>
    <w:basedOn w:val="9"/>
    <w:link w:val="6"/>
    <w:uiPriority w:val="99"/>
    <w:rPr>
      <w:rFonts w:ascii="Times New Roman" w:hAnsi="Times New Roman" w:eastAsia="宋体" w:cs="Times New Roman"/>
      <w:sz w:val="18"/>
      <w:szCs w:val="18"/>
    </w:rPr>
  </w:style>
  <w:style w:type="character" w:customStyle="1" w:styleId="12">
    <w:name w:val="批注框文本 Char"/>
    <w:basedOn w:val="9"/>
    <w:link w:val="5"/>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正文文本缩进 Char"/>
    <w:basedOn w:val="9"/>
    <w:link w:val="3"/>
    <w:uiPriority w:val="0"/>
    <w:rPr>
      <w:rFonts w:ascii="Times New Roman" w:hAnsi="Times New Roman" w:eastAsia="宋体" w:cs="Times New Roman"/>
      <w:spacing w:val="20"/>
      <w:kern w:val="2"/>
      <w:sz w:val="21"/>
      <w:szCs w:val="24"/>
    </w:rPr>
  </w:style>
  <w:style w:type="character" w:customStyle="1" w:styleId="15">
    <w:name w:val="纯文本 Char"/>
    <w:basedOn w:val="9"/>
    <w:link w:val="4"/>
    <w:uiPriority w:val="0"/>
    <w:rPr>
      <w:rFonts w:ascii="宋体" w:hAnsi="Courier New" w:eastAsia="宋体" w:cs="Times New Roman"/>
      <w:kern w:val="2"/>
      <w:sz w:val="24"/>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uiPriority w:val="0"/>
    <w:pPr>
      <w:spacing w:line="400" w:lineRule="exact"/>
      <w:ind w:left="284" w:right="284"/>
    </w:pPr>
    <w:rPr>
      <w:sz w:val="24"/>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215</Words>
  <Characters>1232</Characters>
  <Lines>10</Lines>
  <Paragraphs>2</Paragraphs>
  <TotalTime>0</TotalTime>
  <ScaleCrop>false</ScaleCrop>
  <LinksUpToDate>false</LinksUpToDate>
  <CharactersWithSpaces>1445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弓长</cp:lastModifiedBy>
  <dcterms:modified xsi:type="dcterms:W3CDTF">2020-12-29T03:00:09Z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