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79235" cy="9307830"/>
            <wp:effectExtent l="0" t="0" r="12065" b="1270"/>
            <wp:docPr id="2" name="图片 2" descr="img-104112609-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-104112609-00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9235" cy="930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8" w:name="_GoBack"/>
      <w:bookmarkEnd w:id="18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74"/>
        <w:gridCol w:w="1179"/>
        <w:gridCol w:w="6"/>
        <w:gridCol w:w="567"/>
        <w:gridCol w:w="1242"/>
        <w:gridCol w:w="75"/>
        <w:gridCol w:w="101"/>
        <w:gridCol w:w="589"/>
        <w:gridCol w:w="132"/>
        <w:gridCol w:w="737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河北卓汉通信工程有限公司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河北省保定市莲池区七一东路1999号未来石3号楼1707室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06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王洪涛</w:t>
            </w:r>
            <w:bookmarkEnd w:id="2"/>
          </w:p>
        </w:tc>
        <w:tc>
          <w:tcPr>
            <w:tcW w:w="1179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13191655866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071028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306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b w:val="0"/>
                <w:bCs w:val="0"/>
                <w:sz w:val="21"/>
                <w:szCs w:val="21"/>
              </w:rPr>
              <w:t>王洪涛</w:t>
            </w:r>
          </w:p>
        </w:tc>
        <w:tc>
          <w:tcPr>
            <w:tcW w:w="1179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306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0018-2020-QEO</w:t>
            </w:r>
            <w:bookmarkEnd w:id="8"/>
          </w:p>
        </w:tc>
        <w:tc>
          <w:tcPr>
            <w:tcW w:w="118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补充审核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13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保持认证注册资格：验证组织管理体系是否持续有效运行，以确定是否推荐保持认证注册资格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.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其它：</w:t>
            </w:r>
            <w:bookmarkEnd w:id="13"/>
            <w:r>
              <w:rPr>
                <w:rFonts w:hint="eastAsia" w:ascii="宋体" w:hAnsi="宋体" w:cs="Times New Roman"/>
                <w:b/>
                <w:bCs/>
                <w:sz w:val="20"/>
                <w:szCs w:val="22"/>
                <w:lang w:val="en-US" w:eastAsia="zh-CN"/>
              </w:rPr>
              <w:t>对远程监督审核的现场补充验证</w:t>
            </w:r>
            <w:r>
              <w:rPr>
                <w:rFonts w:hint="eastAsia" w:ascii="宋体" w:hAnsi="宋体" w:cs="Times New Roman"/>
                <w:b/>
                <w:bCs/>
                <w:sz w:val="2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审核范围"/>
            <w:r>
              <w:rPr>
                <w:b w:val="0"/>
                <w:bCs w:val="0"/>
                <w:sz w:val="21"/>
                <w:szCs w:val="21"/>
              </w:rPr>
              <w:t>Q：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安防</w:t>
            </w:r>
            <w:r>
              <w:rPr>
                <w:b w:val="0"/>
                <w:bCs w:val="0"/>
                <w:sz w:val="21"/>
                <w:szCs w:val="21"/>
              </w:rPr>
              <w:t>信息系统集成服务，电子产品、通讯终端设备、计算机、软件及辅助设备的销售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安防</w:t>
            </w:r>
            <w:r>
              <w:rPr>
                <w:b w:val="0"/>
                <w:bCs w:val="0"/>
                <w:sz w:val="21"/>
                <w:szCs w:val="21"/>
              </w:rPr>
              <w:t>信息系统集成服务，电子产品、通讯终端设备、计算机、软件及辅助设备的销售及其场所所涉及的环境管理活动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安防</w:t>
            </w:r>
            <w:r>
              <w:rPr>
                <w:b w:val="0"/>
                <w:bCs w:val="0"/>
                <w:sz w:val="21"/>
                <w:szCs w:val="21"/>
              </w:rPr>
              <w:t>信息系统集成服务，电子产品、通讯终端设备、计算机、软件及辅助设备的销售及其场所所涉及的职业健康安全管理活动</w:t>
            </w:r>
            <w:bookmarkEnd w:id="14"/>
          </w:p>
        </w:tc>
        <w:tc>
          <w:tcPr>
            <w:tcW w:w="822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5" w:name="专业代码"/>
            <w:r>
              <w:rPr>
                <w:b w:val="0"/>
                <w:bCs w:val="0"/>
                <w:sz w:val="21"/>
                <w:szCs w:val="21"/>
              </w:rPr>
              <w:t>Q：29.12.00;33.02.02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E：29.12.00;33.02.02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O：29.12.00;33.02.02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6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Q：GB/T19001-2016/ISO9001:2015,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45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001-20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/ISO 45001：2018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7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2021年01月04日 上午至2021年01月05日 下午 (共2.0天)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170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170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Q:29.12.00,33.02.02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E:29.12.00,33.02.02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O:29.12.00,33.02.02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2020.12.30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2020.12.31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2020.12.31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35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1.1.4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8:00-8:30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8:30-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危险源辨识、风险评价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资源作用职责责任权限；目标、指标管理方案；环境因素/危险源识别评价；文件化信息；文件总则/管理手册、文件和记录控制；人员、组织知识；能力；意识；沟通；能力、培训和意识；信息交流、沟通参与和协商；产品和服务要求；外部提供的过程、产品和服务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6.1.2/6.1.3/7.2/7.3/7.4/7.5/8.1/8.2/9.1/9.2/10.2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1.1.5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技术部/工程现场：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组织的岗位、职责权限；资源作用职责责任权限；目标、指标管理方案；环境因素/危险源识别评价；基础设施；运行环境；监视和测量资源；运行的策划和控制；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顾客或外部供方财产；交付后活动；标识和可追溯性；产品防护；变更的控制；运行控制；应急准备和响应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Q5.3/6.2/7.1.3/7.1.4/7.1.5/8.1/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8.3/8.5.1/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8.5.2/8.5.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/8.5.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/8.5.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/8.5.6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/8.6/8.7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24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AA7F8B"/>
    <w:rsid w:val="1D0E0148"/>
    <w:rsid w:val="3ADF52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2021-01-04T03:33:35Z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