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left"/>
        <w:rPr>
          <w:rFonts w:ascii="楷体" w:hAnsi="楷体" w:eastAsia="楷体"/>
          <w:b/>
          <w:bCs/>
          <w:color w:val="000000" w:themeColor="text1"/>
          <w:sz w:val="84"/>
          <w:szCs w:val="84"/>
          <w:u w:val="none"/>
        </w:rPr>
      </w:pPr>
      <w:r>
        <w:rPr>
          <w:rFonts w:hint="eastAsia" w:ascii="宋体" w:hAnsi="宋体"/>
          <w:b/>
          <w:bCs/>
          <w:kern w:val="0"/>
          <w:szCs w:val="21"/>
          <w:u w:val="none"/>
          <w:lang w:val="en-US" w:eastAsia="zh-CN"/>
        </w:rPr>
        <w:t>编号：</w:t>
      </w:r>
      <w:r>
        <w:rPr>
          <w:rFonts w:hint="eastAsia" w:ascii="宋体" w:hAnsi="宋体"/>
          <w:b/>
          <w:bCs/>
          <w:kern w:val="0"/>
          <w:szCs w:val="21"/>
          <w:u w:val="none"/>
        </w:rPr>
        <w:t xml:space="preserve">0678-2020-Q </w:t>
      </w: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四川光博电子科技有限公司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19.01.02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陈伟</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黑体" w:hAnsi="黑体" w:eastAsia="黑体" w:cs="黑体"/>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四川光博电子科技有限公司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四川省德阳市罗江区金山工业园金莲路1号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618500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四川省德阳市罗江区金山工业园金莲路1号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618500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张旭良</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0838-3120688</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张旭良</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hint="default" w:ascii="宋体" w:hAnsi="宋体" w:eastAsia="宋体"/>
                <w:b/>
                <w:color w:val="000000" w:themeColor="text1"/>
                <w:spacing w:val="-20"/>
                <w:sz w:val="20"/>
                <w:szCs w:val="20"/>
                <w:lang w:val="en-US" w:eastAsia="zh-CN"/>
              </w:rPr>
            </w:pPr>
            <w:bookmarkStart w:id="15" w:name="最高管理者"/>
            <w:bookmarkEnd w:id="15"/>
            <w:r>
              <w:rPr>
                <w:rFonts w:hint="eastAsia" w:ascii="宋体" w:hAnsi="宋体"/>
                <w:b/>
                <w:color w:val="000000" w:themeColor="text1"/>
                <w:spacing w:val="-20"/>
                <w:sz w:val="20"/>
                <w:szCs w:val="20"/>
                <w:lang w:val="en-US" w:eastAsia="zh-CN"/>
              </w:rPr>
              <w:t>陈习军</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张旭良</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PCBA的加工</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19.01.02</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黑体" w:hAnsi="黑体" w:eastAsia="黑体" w:cs="黑体"/>
                <w:b/>
                <w:color w:val="000000" w:themeColor="text1"/>
                <w:sz w:val="20"/>
                <w:szCs w:val="20"/>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2020-08-11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综合部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生产部</w:t>
            </w:r>
          </w:p>
        </w:tc>
        <w:tc>
          <w:tcPr>
            <w:tcW w:w="6804" w:type="dxa"/>
          </w:tcPr>
          <w:p>
            <w:pPr>
              <w:jc w:val="center"/>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质量部</w:t>
            </w:r>
          </w:p>
        </w:tc>
        <w:tc>
          <w:tcPr>
            <w:tcW w:w="6804" w:type="dxa"/>
          </w:tcPr>
          <w:p>
            <w:pPr>
              <w:jc w:val="center"/>
              <w:rPr>
                <w:rFonts w:ascii="宋体" w:hAnsi="宋体"/>
                <w:b/>
                <w:color w:val="000000" w:themeColor="text1"/>
                <w:spacing w:val="-20"/>
                <w:sz w:val="20"/>
                <w:szCs w:val="20"/>
                <w:u w:val="single"/>
              </w:rPr>
            </w:pPr>
            <w:r>
              <w:rPr>
                <w:rFonts w:hint="eastAsia" w:ascii="宋体" w:hAnsi="宋体"/>
                <w:b/>
                <w:color w:val="000000" w:themeColor="text1"/>
                <w:sz w:val="20"/>
                <w:szCs w:val="20"/>
              </w:rPr>
              <w:t>监视和测量设备管理；设备设施管理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产品验收管理；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eastAsia="zh-CN"/>
              </w:rPr>
              <w:t>市场部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PCBA的加工</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rFonts w:hint="default" w:eastAsia="宋体"/>
                <w:b/>
                <w:color w:val="000000" w:themeColor="text1"/>
                <w:sz w:val="20"/>
                <w:szCs w:val="20"/>
                <w:highlight w:val="green"/>
                <w:lang w:val="en-US" w:eastAsia="zh-CN"/>
              </w:rPr>
            </w:pPr>
            <w:r>
              <w:rPr>
                <w:rFonts w:hint="eastAsia" w:ascii="Times New Roman" w:hAnsi="Times New Roman" w:cs="Times New Roman"/>
                <w:b w:val="0"/>
                <w:bCs/>
                <w:sz w:val="21"/>
                <w:szCs w:val="21"/>
                <w:highlight w:val="none"/>
                <w:lang w:val="en-US" w:eastAsia="zh-CN"/>
              </w:rPr>
              <w:t>电子装配可接收性IPC-A-610D</w:t>
            </w:r>
            <w:r>
              <w:rPr>
                <w:rFonts w:hint="eastAsia" w:ascii="宋体" w:hAnsi="宋体"/>
                <w:szCs w:val="21"/>
                <w:highlight w:val="none"/>
                <w:lang w:eastAsia="zh-CN"/>
              </w:rPr>
              <w:t>、客户要求（</w:t>
            </w:r>
            <w:r>
              <w:rPr>
                <w:rFonts w:hint="eastAsia" w:ascii="宋体" w:hAnsi="宋体" w:cs="Times New Roman"/>
                <w:color w:val="auto"/>
                <w:sz w:val="21"/>
                <w:szCs w:val="21"/>
                <w:highlight w:val="none"/>
                <w:lang w:eastAsia="zh-CN"/>
              </w:rPr>
              <w:t>合同协议</w:t>
            </w:r>
            <w:r>
              <w:rPr>
                <w:rFonts w:hint="eastAsia" w:ascii="宋体" w:hAnsi="宋体"/>
                <w:szCs w:val="21"/>
                <w:highlight w:val="none"/>
                <w:lang w:eastAsia="zh-CN"/>
              </w:rPr>
              <w:t>）</w:t>
            </w:r>
            <w:r>
              <w:rPr>
                <w:rFonts w:hint="eastAsia" w:ascii="宋体" w:hAnsi="宋体"/>
                <w:szCs w:val="21"/>
                <w:highlight w:val="non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ascii="黑体" w:hAnsi="黑体" w:eastAsia="黑体" w:cs="黑体"/>
          <w:b/>
          <w:color w:val="000000" w:themeColor="text1"/>
          <w:spacing w:val="-10"/>
          <w:szCs w:val="21"/>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8</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11</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12</w:t>
      </w:r>
      <w:r>
        <w:rPr>
          <w:rFonts w:hint="eastAsia"/>
          <w:b/>
          <w:color w:val="000000" w:themeColor="text1"/>
          <w:spacing w:val="-10"/>
          <w:szCs w:val="21"/>
        </w:rPr>
        <w:t>月</w:t>
      </w:r>
      <w:r>
        <w:rPr>
          <w:rFonts w:hint="eastAsia"/>
          <w:b/>
          <w:color w:val="000000" w:themeColor="text1"/>
          <w:spacing w:val="-10"/>
          <w:szCs w:val="21"/>
          <w:lang w:val="en-US" w:eastAsia="zh-CN"/>
        </w:rPr>
        <w:t>27</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ascii="黑体" w:hAnsi="黑体" w:eastAsia="黑体" w:cs="黑体"/>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lang w:val="en-US" w:eastAsia="zh-CN"/>
              </w:rPr>
            </w:pPr>
            <w:r>
              <w:rPr>
                <w:b/>
                <w:bCs/>
              </w:rPr>
              <w:t>1、</w:t>
            </w:r>
            <w:r>
              <w:rPr>
                <w:rFonts w:hint="eastAsia"/>
                <w:b/>
                <w:bCs/>
              </w:rPr>
              <w:t>组织及其环境的识别情况</w:t>
            </w:r>
            <w:r>
              <w:rPr>
                <w:rFonts w:hint="eastAsia"/>
                <w:b/>
                <w:bCs/>
                <w:lang w:val="en-US" w:eastAsia="zh-CN"/>
              </w:rPr>
              <w:t xml:space="preserve">  </w:t>
            </w:r>
            <w:r>
              <w:rPr>
                <w:rFonts w:hint="eastAsia"/>
                <w:lang w:val="en-US" w:eastAsia="zh-CN"/>
              </w:rPr>
              <w:t xml:space="preserve">                     </w:t>
            </w:r>
          </w:p>
          <w:p>
            <w:pPr>
              <w:pStyle w:val="2"/>
              <w:rPr>
                <w:rFonts w:hint="default"/>
                <w:lang w:val="en-US" w:eastAsia="zh-CN"/>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eastAsia="zh-CN"/>
              </w:rPr>
              <w:t>不</w:t>
            </w:r>
            <w:r>
              <w:rPr>
                <w:rFonts w:hint="eastAsia" w:ascii="宋体" w:hAnsi="宋体"/>
                <w:color w:val="000000" w:themeColor="text1"/>
              </w:rPr>
              <w:t>适用</w:t>
            </w:r>
            <w:r>
              <w:rPr>
                <w:rFonts w:hint="eastAsia" w:ascii="宋体" w:hAnsi="宋体"/>
                <w:color w:val="000000" w:themeColor="text1"/>
                <w:lang w:eastAsia="zh-CN"/>
              </w:rPr>
              <w:t>，</w:t>
            </w:r>
            <w:r>
              <w:rPr>
                <w:rFonts w:hint="eastAsia" w:ascii="宋体" w:hAnsi="宋体"/>
                <w:szCs w:val="22"/>
                <w:lang w:val="en-US" w:eastAsia="zh-CN"/>
              </w:rPr>
              <w:t>理由：</w:t>
            </w:r>
            <w:r>
              <w:rPr>
                <w:rFonts w:hint="eastAsia" w:ascii="宋体" w:hAnsi="宋体"/>
                <w:sz w:val="21"/>
                <w:szCs w:val="21"/>
                <w:highlight w:val="none"/>
              </w:rPr>
              <w:t>公司PCBA的加工依据成熟工艺,按国家</w:t>
            </w:r>
            <w:r>
              <w:rPr>
                <w:rFonts w:hint="eastAsia" w:ascii="宋体" w:hAnsi="宋体"/>
                <w:sz w:val="21"/>
                <w:szCs w:val="21"/>
                <w:highlight w:val="none"/>
                <w:lang w:eastAsia="zh-CN"/>
              </w:rPr>
              <w:t>客户要求及图纸进行</w:t>
            </w:r>
            <w:r>
              <w:rPr>
                <w:rFonts w:hint="eastAsia" w:ascii="宋体" w:hAnsi="宋体"/>
                <w:sz w:val="21"/>
                <w:szCs w:val="21"/>
                <w:highlight w:val="none"/>
              </w:rPr>
              <w:t>生产</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lang w:val="en-US" w:eastAsia="zh-CN"/>
              </w:rPr>
            </w:pPr>
            <w:r>
              <w:rPr>
                <w:rFonts w:hint="eastAsia" w:ascii="Times New Roman" w:hAnsi="Times New Roman" w:eastAsia="宋体" w:cs="Times New Roman"/>
                <w:b/>
                <w:bCs/>
              </w:rPr>
              <w:t>相关方需求和期望识别情况</w:t>
            </w:r>
            <w:r>
              <w:rPr>
                <w:rFonts w:hint="eastAsia" w:ascii="Times New Roman" w:hAnsi="Times New Roman" w:eastAsia="宋体" w:cs="Times New Roman"/>
                <w:b/>
                <w:bCs/>
                <w:lang w:val="en-US" w:eastAsia="zh-CN"/>
              </w:rPr>
              <w:t xml:space="preserve">   </w:t>
            </w:r>
            <w:r>
              <w:rPr>
                <w:rFonts w:hint="eastAsia"/>
                <w:lang w:val="en-US" w:eastAsia="zh-CN"/>
              </w:rPr>
              <w:t xml:space="preserve">                                           </w:t>
            </w:r>
          </w:p>
          <w:p>
            <w:pPr>
              <w:pStyle w:val="2"/>
              <w:numPr>
                <w:ilvl w:val="0"/>
                <w:numId w:val="0"/>
              </w:numPr>
              <w:rPr>
                <w:rFonts w:hint="default"/>
                <w:lang w:val="en-US" w:eastAsia="zh-CN"/>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exac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黑体" w:hAnsi="黑体" w:eastAsia="黑体" w:cs="黑体"/>
                <w:b/>
                <w:color w:val="000000" w:themeColor="text1"/>
                <w:spacing w:val="-10"/>
                <w:sz w:val="20"/>
                <w:szCs w:val="20"/>
              </w:rPr>
              <w:t>■</w:t>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240" w:lineRule="exact"/>
              <w:ind w:left="199" w:leftChars="95"/>
              <w:rPr>
                <w:b/>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宋体" w:hAnsi="宋体" w:cs="Times New Roman"/>
                <w:color w:val="000000" w:themeColor="text1"/>
                <w:lang w:val="en-US" w:eastAsia="zh-CN"/>
              </w:rPr>
              <w:t>“</w:t>
            </w:r>
            <w:r>
              <w:rPr>
                <w:rFonts w:hint="eastAsia" w:ascii="宋体" w:hAnsi="宋体" w:cs="Times New Roman"/>
                <w:color w:val="000000" w:themeColor="text1"/>
              </w:rPr>
              <w:t>质量第一、降本增效、精益求精、持续改进</w:t>
            </w:r>
            <w:r>
              <w:rPr>
                <w:rFonts w:hint="eastAsia" w:ascii="宋体" w:hAnsi="宋体" w:cs="Times New Roman"/>
                <w:color w:val="000000" w:themeColor="text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0"/>
              </w:numPr>
              <w:spacing w:line="240" w:lineRule="exact"/>
              <w:ind w:leftChars="0"/>
              <w:rPr>
                <w:rFonts w:hint="eastAsia"/>
                <w:lang w:val="en-US" w:eastAsia="zh-CN"/>
              </w:rPr>
            </w:pPr>
            <w:r>
              <w:rPr>
                <w:rFonts w:hint="eastAsia"/>
                <w:b/>
                <w:bCs/>
                <w:lang w:val="en-US" w:eastAsia="zh-CN"/>
              </w:rPr>
              <w:t>4、</w:t>
            </w:r>
            <w:r>
              <w:rPr>
                <w:rFonts w:hint="eastAsia"/>
                <w:b/>
                <w:bCs/>
              </w:rPr>
              <w:t>风险识别与控制策划（QMS）</w:t>
            </w:r>
            <w:r>
              <w:rPr>
                <w:rFonts w:hint="eastAsia"/>
                <w:b/>
                <w:bCs/>
                <w:lang w:val="en-US" w:eastAsia="zh-CN"/>
              </w:rPr>
              <w:t xml:space="preserve"> </w:t>
            </w:r>
            <w:r>
              <w:rPr>
                <w:rFonts w:hint="eastAsia"/>
                <w:lang w:val="en-US" w:eastAsia="zh-CN"/>
              </w:rPr>
              <w:t xml:space="preserve">                                            </w:t>
            </w:r>
          </w:p>
          <w:p>
            <w:pPr>
              <w:pStyle w:val="2"/>
              <w:numPr>
                <w:ilvl w:val="0"/>
                <w:numId w:val="0"/>
              </w:numPr>
              <w:ind w:leftChars="0"/>
              <w:rPr>
                <w:rFonts w:hint="default"/>
                <w:lang w:val="en-US" w:eastAsia="zh-CN"/>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7" w:hRule="exac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FF0000"/>
                <w:sz w:val="20"/>
                <w:szCs w:val="20"/>
              </w:rPr>
            </w:pPr>
            <w:r>
              <w:rPr>
                <w:rFonts w:hint="eastAsia"/>
                <w:b/>
                <w:color w:val="FF0000"/>
                <w:sz w:val="20"/>
                <w:szCs w:val="20"/>
              </w:rPr>
              <w:t>5.</w:t>
            </w:r>
            <w:r>
              <w:rPr>
                <w:b/>
                <w:color w:val="FF0000"/>
                <w:sz w:val="20"/>
                <w:szCs w:val="20"/>
              </w:rPr>
              <w:t>QMS</w:t>
            </w:r>
            <w:r>
              <w:rPr>
                <w:rFonts w:hint="eastAsia" w:ascii="宋体" w:hAnsi="宋体"/>
                <w:b/>
                <w:color w:val="FF0000"/>
                <w:sz w:val="20"/>
                <w:szCs w:val="20"/>
              </w:rPr>
              <w:t>过程</w:t>
            </w:r>
          </w:p>
          <w:p>
            <w:pPr>
              <w:tabs>
                <w:tab w:val="left" w:pos="540"/>
              </w:tabs>
              <w:spacing w:line="300" w:lineRule="exact"/>
              <w:ind w:left="201" w:hanging="201" w:hangingChars="100"/>
              <w:rPr>
                <w:rFonts w:hint="eastAsia" w:ascii="宋体" w:hAnsi="宋体" w:eastAsia="宋体"/>
                <w:b/>
                <w:color w:val="FF0000"/>
                <w:sz w:val="20"/>
                <w:szCs w:val="20"/>
                <w:u w:val="single"/>
                <w:lang w:eastAsia="zh-CN"/>
              </w:rPr>
            </w:pPr>
            <w:r>
              <w:rPr>
                <w:rFonts w:hint="eastAsia" w:ascii="宋体" w:hAnsi="宋体"/>
                <w:b/>
                <w:color w:val="FF0000"/>
                <w:sz w:val="20"/>
                <w:szCs w:val="20"/>
              </w:rPr>
              <w:t>质量管理体系过程有：</w:t>
            </w:r>
            <w:r>
              <w:rPr>
                <w:rFonts w:hint="eastAsia" w:ascii="宋体" w:hAnsi="宋体"/>
                <w:color w:val="FF0000"/>
                <w:sz w:val="21"/>
                <w:szCs w:val="21"/>
                <w:highlight w:val="none"/>
              </w:rPr>
              <w:t>PCBA的加工</w:t>
            </w:r>
            <w:r>
              <w:rPr>
                <w:rFonts w:hint="eastAsia" w:ascii="宋体" w:hAnsi="宋体"/>
                <w:color w:val="FF0000"/>
                <w:sz w:val="21"/>
                <w:szCs w:val="21"/>
                <w:highlight w:val="none"/>
                <w:lang w:eastAsia="zh-CN"/>
              </w:rPr>
              <w:t>工艺流程：</w:t>
            </w:r>
          </w:p>
          <w:p>
            <w:pPr>
              <w:tabs>
                <w:tab w:val="left" w:pos="540"/>
              </w:tabs>
              <w:spacing w:line="300" w:lineRule="exact"/>
              <w:ind w:left="201" w:hanging="201" w:hangingChars="100"/>
              <w:rPr>
                <w:rFonts w:ascii="宋体" w:hAnsi="宋体"/>
                <w:b/>
                <w:color w:val="FF0000"/>
                <w:sz w:val="20"/>
                <w:szCs w:val="20"/>
                <w:u w:val="single"/>
              </w:rPr>
            </w:pPr>
            <w:r>
              <w:rPr>
                <w:rFonts w:hint="eastAsia" w:ascii="宋体" w:hAnsi="宋体"/>
                <w:b/>
                <w:color w:val="FF0000"/>
                <w:sz w:val="20"/>
                <w:szCs w:val="20"/>
              </w:rPr>
              <w:t>其中关键过程有</w:t>
            </w:r>
            <w:r>
              <w:rPr>
                <w:rFonts w:hint="eastAsia" w:ascii="宋体" w:hAnsi="宋体"/>
                <w:b/>
                <w:color w:val="FF0000"/>
                <w:sz w:val="20"/>
                <w:szCs w:val="20"/>
                <w:u w:val="single"/>
              </w:rPr>
              <w:t xml:space="preserve">                                                                ，</w:t>
            </w:r>
          </w:p>
          <w:p>
            <w:pPr>
              <w:tabs>
                <w:tab w:val="left" w:pos="540"/>
              </w:tabs>
              <w:spacing w:line="300" w:lineRule="exact"/>
              <w:ind w:left="201" w:hanging="201" w:hangingChars="100"/>
              <w:rPr>
                <w:rFonts w:ascii="宋体" w:hAnsi="宋体"/>
                <w:b/>
                <w:color w:val="FF0000"/>
                <w:sz w:val="20"/>
                <w:szCs w:val="20"/>
                <w:u w:val="single"/>
              </w:rPr>
            </w:pPr>
            <w:r>
              <w:rPr>
                <w:rFonts w:hint="eastAsia" w:ascii="宋体" w:hAnsi="宋体"/>
                <w:b/>
                <w:color w:val="FF0000"/>
                <w:sz w:val="20"/>
                <w:szCs w:val="20"/>
              </w:rPr>
              <w:t xml:space="preserve">需要确认过程  </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1025" o:spid="_x0000_s1025"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6" o:spid="_x0000_s1026"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8.3</w:t>
            </w:r>
            <w:r>
              <w:rPr>
                <w:rFonts w:hint="eastAsia" w:ascii="宋体" w:hAnsi="宋体"/>
                <w:b/>
                <w:color w:val="000000" w:themeColor="text1"/>
                <w:sz w:val="20"/>
                <w:szCs w:val="20"/>
              </w:rPr>
              <w:t xml:space="preserve">  ，不适用理由： </w:t>
            </w:r>
            <w:r>
              <w:rPr>
                <w:rFonts w:hint="eastAsia" w:ascii="宋体" w:hAnsi="宋体"/>
                <w:b w:val="0"/>
                <w:bCs/>
                <w:color w:val="000000" w:themeColor="text1"/>
                <w:sz w:val="20"/>
                <w:szCs w:val="20"/>
              </w:rPr>
              <w:t xml:space="preserve">公司PCBA的加工依据成熟工艺,按国家客户要求及图纸进行生产。因此标准8.3条款“产品和服务的设计和开发”要求不适用。8.3条款的不适用不影响提供满足客户对产品质量的要求及符合法律法规的要求。 </w:t>
            </w:r>
            <w:r>
              <w:rPr>
                <w:rFonts w:hint="eastAsia" w:ascii="宋体" w:hAnsi="宋体"/>
                <w:b/>
                <w:color w:val="000000" w:themeColor="text1"/>
                <w:sz w:val="20"/>
                <w:szCs w:val="20"/>
              </w:rPr>
              <w:t xml:space="preserve">                                                                                               </w:t>
            </w:r>
          </w:p>
          <w:p>
            <w:pPr>
              <w:tabs>
                <w:tab w:val="left" w:pos="540"/>
              </w:tabs>
              <w:spacing w:line="300" w:lineRule="exact"/>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exac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exac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bCs/>
              </w:rPr>
            </w:pPr>
            <w:r>
              <w:rPr>
                <w:rFonts w:hint="eastAsia"/>
                <w:b/>
                <w:bCs/>
              </w:rPr>
              <w:t xml:space="preserve">7. </w:t>
            </w:r>
            <w:r>
              <w:rPr>
                <w:b/>
                <w:bCs/>
              </w:rPr>
              <w:t>OHSMS</w:t>
            </w:r>
            <w:r>
              <w:rPr>
                <w:rFonts w:hint="eastAsia"/>
                <w:b/>
                <w:bCs/>
              </w:rPr>
              <w:t>职业健康安全危险源</w:t>
            </w:r>
          </w:p>
          <w:p>
            <w:pPr>
              <w:spacing w:line="300" w:lineRule="exact"/>
              <w:rPr>
                <w:rFonts w:hint="eastAsia"/>
                <w:b/>
                <w:bCs/>
              </w:rPr>
            </w:pPr>
            <w:r>
              <w:rPr>
                <w:rFonts w:hint="eastAsia"/>
                <w:b/>
                <w:bCs/>
              </w:rPr>
              <w:t>（职业健康安全危险源辨识是否充分、风险评价合理性，以及风险评价动态变更的及时性等）</w:t>
            </w:r>
          </w:p>
          <w:p>
            <w:pPr>
              <w:pStyle w:val="2"/>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lang w:val="en-US" w:eastAsia="zh-CN"/>
              </w:rPr>
              <w:t>8</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黑体" w:hAnsi="黑体" w:eastAsia="黑体" w:cs="黑体"/>
                <w:b/>
                <w:color w:val="000000" w:themeColor="text1"/>
                <w:szCs w:val="21"/>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黑体" w:hAnsi="黑体" w:eastAsia="黑体" w:cs="黑体"/>
                <w:b/>
                <w:color w:val="000000" w:themeColor="text1"/>
                <w:szCs w:val="21"/>
              </w:rPr>
              <w:t>■</w:t>
            </w:r>
            <w:r>
              <w:rPr>
                <w:rFonts w:hint="eastAsia" w:ascii="宋体" w:hAnsi="宋体"/>
                <w:b/>
                <w:color w:val="000000" w:themeColor="text1"/>
                <w:szCs w:val="21"/>
              </w:rPr>
              <w:t>产品/服务□环境因素□危险源，</w:t>
            </w:r>
            <w:r>
              <w:rPr>
                <w:rFonts w:hint="eastAsia" w:ascii="黑体" w:hAnsi="黑体" w:eastAsia="黑体" w:cs="黑体"/>
                <w:b/>
                <w:color w:val="000000" w:themeColor="text1"/>
                <w:szCs w:val="21"/>
              </w:rPr>
              <w:t>■</w:t>
            </w:r>
            <w:r>
              <w:rPr>
                <w:rFonts w:hint="eastAsia" w:ascii="宋体" w:hAnsi="宋体"/>
                <w:b/>
                <w:color w:val="000000" w:themeColor="text1"/>
                <w:szCs w:val="21"/>
              </w:rPr>
              <w:t>确定 □未确定法律法规要求的具体条款，</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lang w:val="en-US" w:eastAsia="zh-CN"/>
              </w:rPr>
              <w:t>9</w:t>
            </w:r>
            <w:r>
              <w:rPr>
                <w:rFonts w:hint="eastAsia"/>
                <w:b/>
                <w:color w:val="000000" w:themeColor="text1"/>
                <w:szCs w:val="21"/>
              </w:rPr>
              <w:t xml:space="preserve">.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rPr>
            </w:pPr>
            <w:r>
              <w:rPr>
                <w:rFonts w:hint="eastAsia"/>
                <w:color w:val="000000"/>
                <w:szCs w:val="21"/>
              </w:rPr>
              <w:t>质</w:t>
            </w:r>
            <w:r>
              <w:rPr>
                <w:rFonts w:hint="eastAsia" w:ascii="宋体" w:hAnsi="宋体" w:cs="宋体"/>
                <w:color w:val="000000"/>
                <w:kern w:val="0"/>
                <w:szCs w:val="21"/>
              </w:rPr>
              <w:t>量目标：</w:t>
            </w:r>
          </w:p>
          <w:p>
            <w:pPr>
              <w:pStyle w:val="6"/>
              <w:spacing w:before="0" w:beforeAutospacing="0" w:after="0" w:afterAutospacing="0" w:line="240" w:lineRule="auto"/>
              <w:ind w:firstLine="420" w:firstLineChars="20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1、成品一次交验合格率≥95%；</w:t>
            </w:r>
          </w:p>
          <w:p>
            <w:pPr>
              <w:pStyle w:val="6"/>
              <w:spacing w:before="0" w:beforeAutospacing="0" w:after="0" w:afterAutospacing="0" w:line="240" w:lineRule="auto"/>
              <w:ind w:firstLine="420" w:firstLineChars="20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2、合同履行率100%；</w:t>
            </w:r>
          </w:p>
          <w:p>
            <w:pPr>
              <w:pStyle w:val="6"/>
              <w:spacing w:before="0" w:beforeAutospacing="0" w:after="0" w:afterAutospacing="0" w:line="240" w:lineRule="auto"/>
              <w:ind w:firstLine="420" w:firstLineChars="200"/>
              <w:rPr>
                <w:rFonts w:ascii="宋体" w:hAnsi="宋体"/>
                <w:b/>
                <w:color w:val="000000" w:themeColor="text1"/>
              </w:rPr>
            </w:pPr>
            <w:r>
              <w:rPr>
                <w:rFonts w:hint="eastAsia" w:ascii="宋体" w:hAnsi="宋体" w:eastAsia="宋体" w:cs="宋体"/>
                <w:color w:val="000000"/>
                <w:kern w:val="0"/>
                <w:sz w:val="21"/>
                <w:szCs w:val="21"/>
                <w:lang w:val="en-US" w:eastAsia="zh-CN" w:bidi="ar-SA"/>
              </w:rPr>
              <w:t>3、顾客满意率≥95%。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lang w:val="en-US" w:eastAsia="zh-CN"/>
              </w:rPr>
              <w:t>10</w:t>
            </w:r>
            <w:r>
              <w:rPr>
                <w:rFonts w:hint="eastAsia"/>
                <w:b/>
                <w:color w:val="000000" w:themeColor="text1"/>
                <w:sz w:val="20"/>
                <w:szCs w:val="20"/>
              </w:rPr>
              <w:t>.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宋体"/>
                <w:color w:val="000000" w:themeColor="text1"/>
              </w:rPr>
              <w:t>年</w:t>
            </w:r>
            <w:r>
              <w:rPr>
                <w:rFonts w:hint="eastAsia" w:ascii="宋体" w:hAnsi="宋体" w:cs="宋体"/>
                <w:color w:val="000000" w:themeColor="text1"/>
                <w:lang w:val="en-US" w:eastAsia="zh-CN"/>
              </w:rPr>
              <w:t>8</w:t>
            </w:r>
            <w:r>
              <w:rPr>
                <w:rFonts w:hint="eastAsia" w:ascii="宋体" w:hAnsi="宋体" w:cs="宋体"/>
                <w:color w:val="000000" w:themeColor="text1"/>
              </w:rPr>
              <w:t>月</w:t>
            </w:r>
            <w:r>
              <w:rPr>
                <w:rFonts w:hint="eastAsia" w:ascii="宋体" w:hAnsi="宋体" w:cs="宋体"/>
                <w:color w:val="000000" w:themeColor="text1"/>
                <w:lang w:val="en-US" w:eastAsia="zh-CN"/>
              </w:rPr>
              <w:t>11</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产品的生产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ascii="宋体" w:hAnsi="宋体"/>
                <w:b/>
                <w:color w:val="000000" w:themeColor="text1"/>
                <w:sz w:val="20"/>
                <w:szCs w:val="20"/>
              </w:rPr>
            </w:pPr>
            <w:r>
              <w:rPr>
                <w:rFonts w:hint="eastAsia" w:ascii="宋体" w:hAnsi="宋体"/>
                <w:color w:val="auto"/>
                <w:sz w:val="21"/>
                <w:szCs w:val="21"/>
                <w:highlight w:val="none"/>
                <w:lang w:val="en-US" w:eastAsia="zh-CN"/>
              </w:rPr>
              <w:t>组织为租赁有面积</w:t>
            </w:r>
            <w:r>
              <w:rPr>
                <w:rFonts w:hint="eastAsia" w:ascii="宋体" w:hAnsi="宋体"/>
                <w:color w:val="FF0000"/>
                <w:sz w:val="21"/>
                <w:szCs w:val="21"/>
                <w:highlight w:val="none"/>
                <w:lang w:val="en-US" w:eastAsia="zh-CN"/>
              </w:rPr>
              <w:t>500平方米的</w:t>
            </w:r>
            <w:r>
              <w:rPr>
                <w:rFonts w:hint="eastAsia" w:ascii="宋体" w:hAnsi="宋体"/>
                <w:color w:val="auto"/>
                <w:sz w:val="21"/>
                <w:szCs w:val="21"/>
                <w:highlight w:val="none"/>
                <w:lang w:val="en-US" w:eastAsia="zh-CN"/>
              </w:rPr>
              <w:t>加工厂房及办公场地.主要生产设备包括：电脑及办公设备、贴片机</w:t>
            </w:r>
            <w:r>
              <w:rPr>
                <w:rFonts w:hint="eastAsia" w:ascii="宋体" w:hAnsi="宋体"/>
                <w:color w:val="auto"/>
                <w:szCs w:val="21"/>
                <w:highlight w:val="none"/>
                <w:lang w:val="en-US" w:eastAsia="zh-CN"/>
              </w:rPr>
              <w:t>、接驳台、</w:t>
            </w:r>
            <w:r>
              <w:rPr>
                <w:rFonts w:hint="eastAsia" w:ascii="宋体" w:hAnsi="宋体" w:cs="宋体"/>
                <w:sz w:val="21"/>
                <w:szCs w:val="21"/>
                <w:vertAlign w:val="baseline"/>
                <w:lang w:val="en-US" w:eastAsia="zh-CN"/>
              </w:rPr>
              <w:t>全自动收板机</w:t>
            </w:r>
            <w:r>
              <w:rPr>
                <w:rFonts w:hint="eastAsia" w:ascii="宋体" w:hAnsi="宋体"/>
                <w:color w:val="auto"/>
                <w:sz w:val="21"/>
                <w:szCs w:val="21"/>
                <w:highlight w:val="none"/>
                <w:lang w:val="en-US" w:eastAsia="zh-CN"/>
              </w:rPr>
              <w:t>等，可以满足</w:t>
            </w:r>
            <w:r>
              <w:rPr>
                <w:rFonts w:hint="eastAsia" w:ascii="宋体" w:hAnsi="宋体"/>
                <w:color w:val="auto"/>
                <w:szCs w:val="21"/>
                <w:highlight w:val="none"/>
                <w:lang w:val="en-US" w:eastAsia="zh-CN"/>
              </w:rPr>
              <w:t>PCBA的加工的</w:t>
            </w:r>
            <w:r>
              <w:rPr>
                <w:rFonts w:hint="eastAsia" w:ascii="宋体" w:hAnsi="宋体"/>
                <w:color w:val="auto"/>
                <w:sz w:val="21"/>
                <w:szCs w:val="21"/>
                <w:highlight w:val="none"/>
                <w:lang w:val="en-US" w:eastAsia="zh-CN"/>
              </w:rPr>
              <w:t>需要。对设备按月方式进行点检维护保养，并实施。特种设备：无。公司未建立信息管理系统用于生产和服务。</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w:t>
            </w:r>
            <w:r>
              <w:rPr>
                <w:rFonts w:hint="eastAsia" w:ascii="宋体" w:hAnsi="宋体" w:cs="宋体"/>
                <w:szCs w:val="21"/>
                <w:lang w:eastAsia="zh-CN"/>
              </w:rPr>
              <w:t>行政部</w:t>
            </w:r>
            <w:r>
              <w:rPr>
                <w:rFonts w:hint="eastAsia" w:ascii="宋体" w:hAnsi="宋体" w:cs="宋体"/>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b/>
                <w:bCs/>
              </w:rPr>
            </w:pPr>
            <w:r>
              <w:rPr>
                <w:rFonts w:hint="eastAsia"/>
                <w:b/>
                <w:bCs/>
              </w:rPr>
              <w:t>监视和测量资源</w:t>
            </w:r>
          </w:p>
          <w:p>
            <w:pPr>
              <w:pStyle w:val="2"/>
              <w:rPr>
                <w:rFonts w:hint="eastAsia" w:eastAsia="宋体"/>
                <w:lang w:eastAsia="zh-CN"/>
              </w:rPr>
            </w:pPr>
            <w:r>
              <w:rPr>
                <w:rFonts w:hint="eastAsia" w:ascii="宋体" w:hAnsi="宋体" w:eastAsia="宋体" w:cs="Times New Roman"/>
                <w:color w:val="auto"/>
                <w:kern w:val="2"/>
                <w:sz w:val="21"/>
                <w:szCs w:val="21"/>
                <w:highlight w:val="none"/>
                <w:lang w:val="en-US" w:eastAsia="zh-CN" w:bidi="ar-SA"/>
              </w:rPr>
              <w:t>AOI光学检测仪，有自校合格证。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8" w:hRule="exac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bCs/>
              </w:rPr>
            </w:pPr>
            <w:r>
              <w:rPr>
                <w:rFonts w:hint="eastAsia"/>
                <w:b/>
                <w:bCs/>
              </w:rPr>
              <w:t>1. 针对方针的管理职责评审</w:t>
            </w:r>
          </w:p>
          <w:p>
            <w:pPr>
              <w:spacing w:line="300" w:lineRule="exact"/>
              <w:ind w:left="1"/>
              <w:rPr>
                <w:rFonts w:hint="eastAsia"/>
                <w:lang w:val="en-US" w:eastAsia="zh-CN"/>
              </w:rPr>
            </w:pPr>
            <w:r>
              <w:rPr>
                <w:rFonts w:hint="eastAsia"/>
                <w:b/>
                <w:bCs/>
              </w:rPr>
              <w:t>（包括针对组织宗旨，制定相关管理方针政策、确保方针为员工理解并在运营中实施，监视方针的实施并评审方针的适宜性）</w:t>
            </w:r>
            <w:r>
              <w:rPr>
                <w:rFonts w:hint="eastAsia"/>
                <w:b/>
                <w:bCs/>
                <w:lang w:val="en-US" w:eastAsia="zh-CN"/>
              </w:rPr>
              <w:t xml:space="preserve">  </w:t>
            </w:r>
            <w:r>
              <w:rPr>
                <w:rFonts w:hint="eastAsia"/>
                <w:lang w:val="en-US" w:eastAsia="zh-CN"/>
              </w:rPr>
              <w:t xml:space="preserve">                                    </w:t>
            </w:r>
          </w:p>
          <w:p>
            <w:pPr>
              <w:pStyle w:val="2"/>
              <w:rPr>
                <w:rFonts w:hint="default"/>
                <w:lang w:val="en-US" w:eastAsia="zh-CN"/>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cs="宋体"/>
                <w:color w:val="000000"/>
                <w:szCs w:val="21"/>
              </w:rPr>
              <w:t>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0" w:hRule="exac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val="0"/>
                <w:bCs/>
                <w:color w:val="0000FF"/>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b/>
                <w:color w:val="000000" w:themeColor="text1"/>
                <w:sz w:val="20"/>
                <w:szCs w:val="20"/>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lang w:eastAsia="zh-CN"/>
              </w:rPr>
              <w:t>检验</w:t>
            </w:r>
            <w:r>
              <w:rPr>
                <w:rFonts w:hint="eastAsia"/>
                <w:color w:val="000000" w:themeColor="text1"/>
                <w:sz w:val="20"/>
                <w:szCs w:val="20"/>
              </w:rPr>
              <w:t>规范、</w:t>
            </w:r>
            <w:r>
              <w:rPr>
                <w:rFonts w:hint="eastAsia"/>
                <w:color w:val="000000" w:themeColor="text1"/>
                <w:sz w:val="20"/>
                <w:szCs w:val="20"/>
                <w:lang w:eastAsia="zh-CN"/>
              </w:rPr>
              <w:t>检验记</w:t>
            </w:r>
            <w:r>
              <w:rPr>
                <w:rFonts w:hint="eastAsia"/>
                <w:color w:val="000000" w:themeColor="text1"/>
                <w:sz w:val="20"/>
                <w:szCs w:val="20"/>
              </w:rPr>
              <w:t>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rFonts w:hint="eastAsia" w:eastAsia="宋体"/>
                <w:b/>
                <w:color w:val="000000" w:themeColor="text1"/>
                <w:sz w:val="20"/>
                <w:szCs w:val="20"/>
                <w:lang w:eastAsia="zh-CN"/>
              </w:rPr>
            </w:pPr>
            <w:r>
              <w:rPr>
                <w:rFonts w:hint="eastAsia"/>
                <w:b/>
                <w:color w:val="000000" w:themeColor="text1"/>
                <w:sz w:val="20"/>
                <w:szCs w:val="20"/>
                <w:lang w:eastAsia="zh-CN"/>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ascii="Times New Roman" w:hAnsi="Times New Roman" w:eastAsia="宋体" w:cs="Times New Roman"/>
                <w:b/>
                <w:color w:val="000000" w:themeColor="text1"/>
                <w:sz w:val="20"/>
                <w:szCs w:val="20"/>
                <w:lang w:val="en-US" w:eastAsia="zh-CN"/>
              </w:rPr>
            </w:pPr>
            <w:r>
              <w:rPr>
                <w:rFonts w:hint="eastAsia"/>
                <w:lang w:val="en-US" w:eastAsia="zh-CN"/>
              </w:rPr>
              <w:t>8.</w:t>
            </w:r>
            <w:r>
              <w:rPr>
                <w:rFonts w:hint="eastAsia"/>
              </w:rPr>
              <w:t>O</w:t>
            </w:r>
            <w:r>
              <w:rPr>
                <w:rFonts w:hint="eastAsia" w:ascii="Times New Roman" w:hAnsi="Times New Roman" w:eastAsia="宋体" w:cs="Times New Roman"/>
                <w:b/>
                <w:color w:val="000000" w:themeColor="text1"/>
                <w:sz w:val="20"/>
                <w:szCs w:val="20"/>
              </w:rPr>
              <w:t>HSMS组织对不可接受风险实施控制的结果</w:t>
            </w:r>
            <w:r>
              <w:rPr>
                <w:rFonts w:hint="eastAsia" w:ascii="Times New Roman" w:hAnsi="Times New Roman" w:eastAsia="宋体" w:cs="Times New Roman"/>
                <w:b/>
                <w:color w:val="000000" w:themeColor="text1"/>
                <w:sz w:val="20"/>
                <w:szCs w:val="20"/>
                <w:lang w:val="en-US" w:eastAsia="zh-CN"/>
              </w:rPr>
              <w:t xml:space="preserve">          </w:t>
            </w:r>
          </w:p>
          <w:p>
            <w:pPr>
              <w:spacing w:line="240" w:lineRule="exact"/>
              <w:rPr>
                <w:rFonts w:hint="default"/>
                <w:lang w:val="en-US" w:eastAsia="zh-CN"/>
              </w:rPr>
            </w:pPr>
            <w:r>
              <w:rPr>
                <w:rFonts w:hint="eastAsia" w:ascii="Times New Roman" w:hAnsi="Times New Roman" w:eastAsia="宋体" w:cs="Times New Roman"/>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r>
              <w:rPr>
                <w:rFonts w:hint="eastAsia" w:ascii="Times New Roman" w:hAnsi="Times New Roman" w:eastAsia="宋体" w:cs="Times New Roman"/>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r>
              <w:rPr>
                <w:rFonts w:hint="eastAsia" w:ascii="宋体" w:hAnsi="宋体" w:cs="宋体"/>
                <w:b/>
                <w:bCs/>
                <w:color w:val="auto"/>
                <w:szCs w:val="21"/>
              </w:rPr>
              <w:t>特种设备：</w:t>
            </w:r>
            <w:r>
              <w:rPr>
                <w:rFonts w:hint="eastAsia" w:ascii="宋体" w:hAnsi="宋体" w:cs="宋体"/>
                <w:b/>
                <w:bCs/>
                <w:color w:val="auto"/>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lang w:val="en-US" w:eastAsia="zh-CN"/>
              </w:rPr>
            </w:pPr>
            <w:r>
              <w:rPr>
                <w:rFonts w:hint="eastAsia"/>
                <w:b/>
                <w:bCs/>
              </w:rPr>
              <w:t>11 .对危险化学品销售、使用、储存、运输处置，规定的执行力度(必要时);</w:t>
            </w:r>
            <w:r>
              <w:rPr>
                <w:rFonts w:hint="eastAsia"/>
                <w:b/>
                <w:bCs/>
                <w:lang w:val="en-US" w:eastAsia="zh-CN"/>
              </w:rPr>
              <w:t xml:space="preserve"> </w:t>
            </w:r>
            <w:r>
              <w:rPr>
                <w:rFonts w:hint="eastAsia"/>
                <w:lang w:val="en-US" w:eastAsia="zh-CN"/>
              </w:rPr>
              <w:t xml:space="preserve">  </w:t>
            </w:r>
          </w:p>
          <w:p>
            <w:pPr>
              <w:pStyle w:val="2"/>
              <w:rPr>
                <w:rFonts w:hint="default"/>
                <w:lang w:val="en-US" w:eastAsia="zh-CN"/>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w:t>
            </w:r>
            <w:r>
              <w:rPr>
                <w:rFonts w:hint="eastAsia" w:ascii="宋体" w:hAnsi="宋体" w:cs="宋体"/>
                <w:color w:val="auto"/>
                <w:szCs w:val="21"/>
              </w:rPr>
              <w:t>目标得到沟通和监视评价，通过数据的汇总统计、描述性统计等方法对目标进行了测量，总体已达到或超过了规定的目标值。通过20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6</w:t>
            </w:r>
            <w:r>
              <w:rPr>
                <w:rFonts w:hint="eastAsia" w:ascii="宋体" w:hAnsi="宋体" w:cs="宋体"/>
                <w:color w:val="auto"/>
                <w:szCs w:val="21"/>
              </w:rPr>
              <w:t>月</w:t>
            </w:r>
            <w:r>
              <w:rPr>
                <w:rFonts w:hint="eastAsia" w:ascii="宋体" w:hAnsi="宋体" w:cs="宋体"/>
                <w:color w:val="auto"/>
                <w:szCs w:val="21"/>
                <w:lang w:val="en-US" w:eastAsia="zh-CN"/>
              </w:rPr>
              <w:t>-2020年11月</w:t>
            </w:r>
            <w:r>
              <w:rPr>
                <w:rFonts w:hint="eastAsia" w:ascii="宋体" w:hAnsi="宋体" w:cs="宋体"/>
                <w:color w:val="auto"/>
                <w:szCs w:val="21"/>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numPr>
                <w:ilvl w:val="0"/>
                <w:numId w:val="4"/>
              </w:numPr>
              <w:spacing w:line="240" w:lineRule="exact"/>
              <w:ind w:left="100" w:hanging="105" w:hangingChars="50"/>
              <w:rPr>
                <w:rFonts w:hint="eastAsia"/>
                <w:lang w:val="en-US" w:eastAsia="zh-CN"/>
              </w:rPr>
            </w:pPr>
            <w:r>
              <w:rPr>
                <w:rFonts w:hint="eastAsia"/>
                <w:b/>
                <w:bCs/>
              </w:rPr>
              <w:t>顾客满意</w:t>
            </w:r>
            <w:r>
              <w:rPr>
                <w:rFonts w:hint="eastAsia"/>
                <w:b/>
                <w:bCs/>
                <w:lang w:val="en-US" w:eastAsia="zh-CN"/>
              </w:rPr>
              <w:t xml:space="preserve">  </w:t>
            </w:r>
            <w:r>
              <w:rPr>
                <w:rFonts w:hint="eastAsia"/>
                <w:lang w:val="en-US" w:eastAsia="zh-CN"/>
              </w:rPr>
              <w:t xml:space="preserve">                                                            </w:t>
            </w:r>
          </w:p>
          <w:p>
            <w:pPr>
              <w:pStyle w:val="2"/>
              <w:numPr>
                <w:ilvl w:val="0"/>
                <w:numId w:val="0"/>
              </w:numPr>
              <w:rPr>
                <w:rFonts w:hint="default"/>
                <w:lang w:val="en-US" w:eastAsia="zh-CN"/>
              </w:rPr>
            </w:pPr>
            <w:r>
              <w:rPr>
                <w:rFonts w:hint="eastAsia" w:ascii="宋体" w:hAnsi="宋体" w:cs="宋体"/>
                <w:color w:val="000000"/>
                <w:szCs w:val="21"/>
              </w:rPr>
              <w:t>公司建立了顾客满意度监视和测量控制程序，对顾客投诉处理及顾客满意度评价做了明确的规定，并按规定对顾客反馈及</w:t>
            </w:r>
            <w:r>
              <w:rPr>
                <w:rFonts w:hint="eastAsia" w:ascii="宋体" w:hAnsi="宋体" w:cs="宋体"/>
                <w:color w:val="auto"/>
                <w:szCs w:val="21"/>
              </w:rPr>
              <w:t>时处理，但在顾客反馈信息的利用上不够，需要改善。近年来未发生重大顾客投诉和产品质量事故。顾客满意度调查按规定实施，20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cs="宋体"/>
                <w:color w:val="auto"/>
                <w:szCs w:val="21"/>
                <w:lang w:val="en-US" w:eastAsia="zh-CN"/>
              </w:rPr>
              <w:t>11</w:t>
            </w:r>
            <w:r>
              <w:rPr>
                <w:rFonts w:hint="eastAsia" w:ascii="宋体" w:hAnsi="宋体" w:cs="宋体"/>
                <w:color w:val="auto"/>
                <w:szCs w:val="21"/>
              </w:rPr>
              <w:t>月实施，满意度评价9</w:t>
            </w:r>
            <w:r>
              <w:rPr>
                <w:rFonts w:hint="eastAsia" w:ascii="宋体" w:hAnsi="宋体" w:cs="宋体"/>
                <w:color w:val="auto"/>
                <w:szCs w:val="21"/>
                <w:lang w:val="en-US" w:eastAsia="zh-CN"/>
              </w:rPr>
              <w:t>8分</w:t>
            </w:r>
            <w:r>
              <w:rPr>
                <w:rFonts w:hint="eastAsia" w:ascii="宋体" w:hAnsi="宋体" w:cs="宋体"/>
                <w:color w:val="auto"/>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2"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ascii="宋体" w:hAnsi="宋体" w:cs="宋体"/>
                <w:szCs w:val="21"/>
              </w:rPr>
              <w:t>建立有《内部审核控制程序》，规定了内审频次一年一次，内审时间</w:t>
            </w:r>
            <w:r>
              <w:rPr>
                <w:rFonts w:hint="eastAsia" w:ascii="宋体" w:hAnsi="宋体" w:cs="宋体"/>
                <w:szCs w:val="21"/>
                <w:lang w:eastAsia="zh-CN"/>
              </w:rPr>
              <w:t>：</w:t>
            </w:r>
            <w:r>
              <w:rPr>
                <w:rFonts w:hint="eastAsia" w:ascii="Times New Roman" w:hAnsi="Times New Roman" w:cs="Times New Roman"/>
                <w:sz w:val="21"/>
                <w:szCs w:val="21"/>
                <w:lang w:val="en-US" w:eastAsia="zh-CN"/>
              </w:rPr>
              <w:t>2020年11月15日</w:t>
            </w:r>
            <w:r>
              <w:rPr>
                <w:rFonts w:hint="eastAsia" w:ascii="宋体" w:hAnsi="宋体" w:cs="宋体"/>
                <w:szCs w:val="21"/>
              </w:rPr>
              <w:t>，拟定了审核实施表，明确了内审范围，内审人员经培训合格上岗，能力满足要求，未出现审核本部门情况，内审不符合项</w:t>
            </w:r>
            <w:r>
              <w:rPr>
                <w:rFonts w:hint="eastAsia" w:ascii="宋体" w:hAnsi="宋体" w:cs="宋体"/>
                <w:szCs w:val="21"/>
                <w:lang w:val="en-US" w:eastAsia="zh-CN"/>
              </w:rPr>
              <w:t>1</w:t>
            </w:r>
            <w:r>
              <w:rPr>
                <w:rFonts w:hint="eastAsia" w:ascii="宋体" w:hAnsi="宋体" w:cs="宋体"/>
                <w:szCs w:val="21"/>
              </w:rPr>
              <w:t>项，</w:t>
            </w:r>
            <w:r>
              <w:rPr>
                <w:rFonts w:hint="eastAsia" w:ascii="Times New Roman" w:hAnsi="Times New Roman" w:cs="Times New Roman"/>
                <w:sz w:val="21"/>
                <w:szCs w:val="21"/>
                <w:lang w:val="en-US" w:eastAsia="zh-CN"/>
              </w:rPr>
              <w:t>涉及市场部9.1.2条款在2020年度未进行客户满意度调查.针</w:t>
            </w:r>
            <w:r>
              <w:rPr>
                <w:rFonts w:hint="eastAsia" w:ascii="Times New Roman" w:hAnsi="Times New Roman" w:cs="Times New Roman"/>
                <w:sz w:val="21"/>
                <w:szCs w:val="21"/>
                <w:lang w:eastAsia="zh-CN"/>
              </w:rPr>
              <w:t>对该不符合项，</w:t>
            </w:r>
            <w:r>
              <w:rPr>
                <w:rFonts w:hint="eastAsia"/>
                <w:szCs w:val="21"/>
              </w:rPr>
              <w:t>针对该不符合项，已及时采取纠正措施后，经内审员验证关闭。</w:t>
            </w:r>
            <w:r>
              <w:rPr>
                <w:rFonts w:hint="eastAsia" w:ascii="宋体" w:hAnsi="宋体" w:cs="宋体"/>
                <w:szCs w:val="21"/>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ascii="Times New Roman" w:hAnsi="Times New Roman" w:cs="Times New Roman"/>
                <w:sz w:val="21"/>
                <w:szCs w:val="21"/>
              </w:rPr>
              <w:t>20</w:t>
            </w:r>
            <w:r>
              <w:rPr>
                <w:rFonts w:hint="eastAsia" w:cs="Times New Roman"/>
                <w:sz w:val="21"/>
                <w:szCs w:val="21"/>
                <w:lang w:val="en-US" w:eastAsia="zh-CN"/>
              </w:rPr>
              <w:t>20</w:t>
            </w:r>
            <w:r>
              <w:rPr>
                <w:rFonts w:hint="eastAsia" w:ascii="Times New Roman" w:hAnsi="Times New Roman" w:cs="Times New Roman"/>
                <w:sz w:val="21"/>
                <w:szCs w:val="21"/>
              </w:rPr>
              <w:t>年</w:t>
            </w:r>
            <w:r>
              <w:rPr>
                <w:rFonts w:hint="eastAsia" w:cs="Times New Roman"/>
                <w:sz w:val="21"/>
                <w:szCs w:val="21"/>
                <w:lang w:val="en-US" w:eastAsia="zh-CN"/>
              </w:rPr>
              <w:t>11</w:t>
            </w:r>
            <w:r>
              <w:rPr>
                <w:rFonts w:hint="eastAsia" w:ascii="Times New Roman" w:hAnsi="Times New Roman" w:cs="Times New Roman"/>
                <w:sz w:val="21"/>
                <w:szCs w:val="21"/>
              </w:rPr>
              <w:t>月</w:t>
            </w:r>
            <w:r>
              <w:rPr>
                <w:rFonts w:hint="eastAsia" w:cs="Times New Roman"/>
                <w:sz w:val="21"/>
                <w:szCs w:val="21"/>
                <w:lang w:val="en-US" w:eastAsia="zh-CN"/>
              </w:rPr>
              <w:t>23</w:t>
            </w:r>
            <w:r>
              <w:rPr>
                <w:rFonts w:hint="eastAsia" w:ascii="Times New Roman" w:hAnsi="Times New Roman" w:cs="Times New Roman"/>
                <w:sz w:val="21"/>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w:t>
            </w:r>
            <w:r>
              <w:rPr>
                <w:rFonts w:hint="eastAsia" w:ascii="宋体" w:hAnsi="宋体" w:cs="宋体"/>
                <w:szCs w:val="21"/>
                <w:lang w:eastAsia="zh-CN"/>
              </w:rPr>
              <w:t>输入、</w:t>
            </w:r>
            <w:r>
              <w:rPr>
                <w:rFonts w:hint="eastAsia" w:ascii="宋体" w:hAnsi="宋体" w:cs="宋体"/>
                <w:szCs w:val="21"/>
              </w:rPr>
              <w:t>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exact"/>
          <w:jc w:val="center"/>
        </w:trPr>
        <w:tc>
          <w:tcPr>
            <w:tcW w:w="720" w:type="dxa"/>
            <w:vMerge w:val="continue"/>
            <w:vAlign w:val="center"/>
          </w:tcPr>
          <w:p>
            <w:pPr>
              <w:spacing w:line="240" w:lineRule="exact"/>
              <w:jc w:val="center"/>
              <w:rPr>
                <w:b/>
                <w:color w:val="000000" w:themeColor="text1"/>
                <w:sz w:val="20"/>
              </w:rPr>
            </w:pPr>
          </w:p>
        </w:tc>
        <w:tc>
          <w:tcPr>
            <w:tcW w:w="9198" w:type="dxa"/>
          </w:tcPr>
          <w:p>
            <w:pPr>
              <w:numPr>
                <w:ilvl w:val="0"/>
                <w:numId w:val="5"/>
              </w:numPr>
              <w:spacing w:line="240" w:lineRule="exact"/>
              <w:rPr>
                <w:rFonts w:hint="eastAsia"/>
                <w:lang w:val="en-US" w:eastAsia="zh-CN"/>
              </w:rPr>
            </w:pPr>
            <w:r>
              <w:rPr>
                <w:rFonts w:hint="eastAsia"/>
                <w:b/>
                <w:bCs/>
              </w:rPr>
              <w:t xml:space="preserve"> EMS是否按规定对主要污染物（污水、废气、噪声、废渣等）及排放实施了例行的监视或测量，结果是否满足相关要求？</w:t>
            </w:r>
            <w:r>
              <w:rPr>
                <w:rFonts w:hint="eastAsia"/>
                <w:b/>
                <w:bCs/>
                <w:lang w:val="en-US" w:eastAsia="zh-CN"/>
              </w:rPr>
              <w:t xml:space="preserve"> </w:t>
            </w:r>
            <w:r>
              <w:rPr>
                <w:rFonts w:hint="eastAsia"/>
                <w:lang w:val="en-US" w:eastAsia="zh-CN"/>
              </w:rPr>
              <w:t xml:space="preserve">                                                                       </w:t>
            </w:r>
          </w:p>
          <w:p>
            <w:pPr>
              <w:pStyle w:val="2"/>
              <w:numPr>
                <w:ilvl w:val="0"/>
                <w:numId w:val="0"/>
              </w:numPr>
              <w:rPr>
                <w:rFonts w:hint="default"/>
                <w:lang w:val="en-US" w:eastAsia="zh-CN"/>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eastAsia="宋体"/>
                <w:b/>
                <w:color w:val="000000" w:themeColor="text1"/>
                <w:sz w:val="20"/>
                <w:szCs w:val="20"/>
                <w:lang w:eastAsia="zh-CN"/>
              </w:rPr>
            </w:pPr>
            <w:r>
              <w:rPr>
                <w:rFonts w:hint="eastAsia"/>
                <w:b/>
                <w:color w:val="000000" w:themeColor="text1"/>
                <w:sz w:val="20"/>
                <w:szCs w:val="20"/>
              </w:rPr>
              <w:t>9. 其他能够标明组织绩效、信誉的证据/信息：</w:t>
            </w:r>
            <w:r>
              <w:rPr>
                <w:rFonts w:hint="eastAsia"/>
                <w:b/>
                <w:color w:val="000000" w:themeColor="text1"/>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b/>
                <w:color w:val="000000" w:themeColor="text1"/>
                <w:sz w:val="20"/>
                <w:szCs w:val="20"/>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hint="eastAsia" w:eastAsia="宋体"/>
                <w:b/>
                <w:color w:val="000000" w:themeColor="text1"/>
                <w:spacing w:val="-20"/>
                <w:sz w:val="20"/>
                <w:szCs w:val="20"/>
                <w:lang w:val="en-US" w:eastAsia="zh-CN"/>
              </w:rPr>
            </w:pPr>
            <w:r>
              <w:rPr>
                <w:rFonts w:hint="eastAsia"/>
                <w:b/>
                <w:color w:val="000000" w:themeColor="text1"/>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0"/>
              </w:numPr>
              <w:spacing w:line="240" w:lineRule="exact"/>
              <w:ind w:leftChars="-50"/>
              <w:rPr>
                <w:rFonts w:hint="eastAsia"/>
                <w:lang w:val="en-US" w:eastAsia="zh-CN"/>
              </w:rPr>
            </w:pPr>
            <w:r>
              <w:rPr>
                <w:rFonts w:hint="eastAsia"/>
                <w:b/>
                <w:bCs/>
                <w:lang w:val="en-US" w:eastAsia="zh-CN"/>
              </w:rPr>
              <w:t>4.</w:t>
            </w:r>
            <w:r>
              <w:rPr>
                <w:rFonts w:hint="eastAsia"/>
                <w:b/>
                <w:bCs/>
              </w:rPr>
              <w:t>创新情况</w:t>
            </w:r>
            <w:r>
              <w:rPr>
                <w:rFonts w:hint="eastAsia"/>
                <w:b/>
                <w:bCs/>
                <w:lang w:val="en-US" w:eastAsia="zh-CN"/>
              </w:rPr>
              <w:t xml:space="preserve"> </w:t>
            </w:r>
            <w:r>
              <w:rPr>
                <w:rFonts w:hint="eastAsia"/>
                <w:lang w:val="en-US" w:eastAsia="zh-CN"/>
              </w:rPr>
              <w:t xml:space="preserve">                        </w:t>
            </w:r>
          </w:p>
          <w:p>
            <w:pPr>
              <w:pStyle w:val="2"/>
              <w:numPr>
                <w:ilvl w:val="0"/>
                <w:numId w:val="0"/>
              </w:numPr>
              <w:ind w:leftChars="-50"/>
              <w:rPr>
                <w:rFonts w:hint="default"/>
                <w:lang w:val="en-US" w:eastAsia="zh-CN"/>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0"/>
              </w:numPr>
              <w:spacing w:line="240" w:lineRule="exact"/>
              <w:ind w:leftChars="0"/>
              <w:rPr>
                <w:rFonts w:hint="eastAsia"/>
                <w:lang w:val="en-US" w:eastAsia="zh-CN"/>
              </w:rPr>
            </w:pPr>
            <w:r>
              <w:rPr>
                <w:rFonts w:hint="eastAsia"/>
                <w:b/>
                <w:bCs/>
                <w:lang w:val="en-US" w:eastAsia="zh-CN"/>
              </w:rPr>
              <w:t>5、</w:t>
            </w:r>
            <w:r>
              <w:rPr>
                <w:rFonts w:hint="eastAsia"/>
                <w:b/>
                <w:bCs/>
              </w:rPr>
              <w:t>上次不符合的整改情况（再认证填写）</w:t>
            </w:r>
            <w:r>
              <w:rPr>
                <w:rFonts w:hint="eastAsia"/>
                <w:b/>
                <w:bCs/>
                <w:lang w:val="en-US" w:eastAsia="zh-CN"/>
              </w:rPr>
              <w:t xml:space="preserve"> </w:t>
            </w:r>
            <w:r>
              <w:rPr>
                <w:rFonts w:hint="eastAsia"/>
                <w:lang w:val="en-US" w:eastAsia="zh-CN"/>
              </w:rPr>
              <w:t xml:space="preserve">                              </w:t>
            </w:r>
          </w:p>
          <w:p>
            <w:pPr>
              <w:pStyle w:val="2"/>
              <w:numPr>
                <w:ilvl w:val="0"/>
                <w:numId w:val="0"/>
              </w:numPr>
              <w:ind w:leftChars="0"/>
              <w:rPr>
                <w:rFonts w:hint="default"/>
                <w:lang w:val="en-US" w:eastAsia="zh-CN"/>
              </w:rPr>
            </w:pPr>
            <w:r>
              <w:rPr>
                <w:rFonts w:hint="eastAsia"/>
                <w:lang w:val="en-US" w:eastAsia="zh-CN"/>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highlight w:val="none"/>
        </w:rPr>
      </w:pPr>
      <w:r>
        <w:rPr>
          <w:rFonts w:hint="eastAsia"/>
          <w:b/>
          <w:color w:val="000000" w:themeColor="text1"/>
          <w:highlight w:val="none"/>
        </w:rPr>
        <w:t>1. 本次审核共开具不符合项报告</w:t>
      </w:r>
      <w:r>
        <w:rPr>
          <w:rFonts w:hint="eastAsia"/>
          <w:b/>
          <w:color w:val="000000" w:themeColor="text1"/>
          <w:highlight w:val="none"/>
          <w:lang w:val="en-US" w:eastAsia="zh-CN"/>
        </w:rPr>
        <w:t xml:space="preserve"> 1</w:t>
      </w:r>
      <w:r>
        <w:rPr>
          <w:rFonts w:hint="eastAsia"/>
          <w:b/>
          <w:color w:val="000000" w:themeColor="text1"/>
          <w:highlight w:val="none"/>
        </w:rPr>
        <w:t>项；其中</w:t>
      </w:r>
      <w:r>
        <w:rPr>
          <w:b/>
          <w:color w:val="000000" w:themeColor="text1"/>
          <w:highlight w:val="none"/>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highlight w:val="none"/>
        </w:rPr>
        <w:t>严重不符合</w:t>
      </w:r>
      <w:r>
        <w:rPr>
          <w:rFonts w:hint="eastAsia"/>
          <w:b/>
          <w:color w:val="000000" w:themeColor="text1"/>
          <w:highlight w:val="none"/>
          <w:lang w:val="en-US" w:eastAsia="zh-CN"/>
        </w:rPr>
        <w:t xml:space="preserve"> 0</w:t>
      </w:r>
      <w:r>
        <w:rPr>
          <w:rFonts w:hint="eastAsia"/>
          <w:b/>
          <w:color w:val="000000" w:themeColor="text1"/>
          <w:highlight w:val="none"/>
        </w:rPr>
        <w:t>项，一般不符合</w:t>
      </w:r>
      <w:r>
        <w:rPr>
          <w:rFonts w:hint="eastAsia"/>
          <w:b/>
          <w:color w:val="000000" w:themeColor="text1"/>
          <w:highlight w:val="none"/>
          <w:lang w:val="en-US" w:eastAsia="zh-CN"/>
        </w:rPr>
        <w:t xml:space="preserve"> 1</w:t>
      </w:r>
      <w:r>
        <w:rPr>
          <w:rFonts w:hint="eastAsia"/>
          <w:b/>
          <w:color w:val="000000" w:themeColor="text1"/>
          <w:highlight w:val="none"/>
        </w:rPr>
        <w:t>项，观察项</w:t>
      </w:r>
      <w:r>
        <w:rPr>
          <w:rFonts w:hint="eastAsia"/>
          <w:b/>
          <w:color w:val="000000" w:themeColor="text1"/>
          <w:highlight w:val="none"/>
          <w:lang w:val="en-US" w:eastAsia="zh-CN"/>
        </w:rPr>
        <w:t xml:space="preserve"> 0</w:t>
      </w:r>
      <w:r>
        <w:rPr>
          <w:rFonts w:hint="eastAsia"/>
          <w:b/>
          <w:color w:val="000000" w:themeColor="text1"/>
          <w:highlight w:val="none"/>
        </w:rPr>
        <w:t>项</w:t>
      </w:r>
      <w:r>
        <w:rPr>
          <w:rFonts w:hint="eastAsia"/>
          <w:b/>
          <w:color w:val="000000" w:themeColor="text1"/>
          <w:highlight w:val="none"/>
          <w:lang w:eastAsia="zh-CN"/>
        </w:rPr>
        <w:t>，</w:t>
      </w:r>
      <w:r>
        <w:rPr>
          <w:rFonts w:hint="eastAsia"/>
          <w:b/>
          <w:color w:val="000000" w:themeColor="text1"/>
          <w:highlight w:val="none"/>
        </w:rPr>
        <w:t>分布在</w:t>
      </w:r>
      <w:r>
        <w:rPr>
          <w:rFonts w:hint="eastAsia"/>
          <w:b/>
          <w:color w:val="000000" w:themeColor="text1"/>
          <w:highlight w:val="none"/>
          <w:lang w:val="en-US" w:eastAsia="zh-CN"/>
        </w:rPr>
        <w:t>生产部</w:t>
      </w:r>
      <w:r>
        <w:rPr>
          <w:rFonts w:hint="eastAsia"/>
          <w:b/>
          <w:color w:val="000000" w:themeColor="text1"/>
          <w:highlight w:val="none"/>
        </w:rPr>
        <w:t>部门</w:t>
      </w:r>
      <w:r>
        <w:rPr>
          <w:rFonts w:hint="eastAsia"/>
          <w:b/>
          <w:color w:val="000000" w:themeColor="text1"/>
          <w:highlight w:val="none"/>
          <w:lang w:val="en-US" w:eastAsia="zh-CN"/>
        </w:rPr>
        <w:t>Q8.5.1f</w:t>
      </w:r>
      <w:bookmarkStart w:id="22" w:name="_GoBack"/>
      <w:bookmarkEnd w:id="22"/>
      <w:r>
        <w:rPr>
          <w:rFonts w:hint="eastAsia"/>
          <w:b/>
          <w:color w:val="000000" w:themeColor="text1"/>
          <w:highlight w:val="none"/>
          <w:lang w:val="en-US" w:eastAsia="zh-CN"/>
        </w:rPr>
        <w:t xml:space="preserve"> </w:t>
      </w:r>
      <w:r>
        <w:rPr>
          <w:rFonts w:hint="eastAsia"/>
          <w:b/>
          <w:color w:val="000000" w:themeColor="text1"/>
          <w:highlight w:val="none"/>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黑体" w:hAnsi="黑体" w:eastAsia="黑体" w:cs="黑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eastAsia="zh-CN"/>
        </w:rPr>
      </w:pPr>
      <w:r>
        <w:rPr>
          <w:rFonts w:hint="eastAsia" w:ascii="黑体" w:hAnsi="黑体" w:eastAsia="黑体" w:cs="黑体"/>
          <w:b/>
          <w:color w:val="000000" w:themeColor="text1"/>
          <w:spacing w:val="-10"/>
          <w:szCs w:val="21"/>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eastAsia="zh-CN"/>
        </w:rPr>
        <w:t>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ascii="黑体" w:hAnsi="黑体" w:eastAsia="黑体" w:cs="黑体"/>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ascii="黑体" w:hAnsi="黑体" w:eastAsia="黑体" w:cs="黑体"/>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ascii="黑体" w:hAnsi="黑体" w:eastAsia="黑体" w:cs="黑体"/>
                <w:b/>
                <w:color w:val="000000" w:themeColor="text1"/>
                <w:spacing w:val="-10"/>
                <w:szCs w:val="21"/>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hint="eastAsia" w:ascii="宋体" w:hAnsi="宋体" w:eastAsia="宋体"/>
                <w:b/>
                <w:color w:val="000000" w:themeColor="text1"/>
                <w:u w:val="single"/>
                <w:lang w:eastAsia="zh-CN"/>
              </w:rPr>
            </w:pPr>
            <w:r>
              <w:rPr>
                <w:rFonts w:ascii="宋体" w:hAnsi="宋体"/>
                <w:b/>
                <w:color w:val="000000" w:themeColor="text1"/>
              </w:rPr>
              <w:t>QMS:</w:t>
            </w:r>
            <w:r>
              <w:rPr>
                <w:rFonts w:hint="eastAsia" w:ascii="宋体" w:hAnsi="宋体"/>
                <w:b/>
                <w:color w:val="000000" w:themeColor="text1"/>
              </w:rPr>
              <w:t>PCBA的加工</w:t>
            </w:r>
            <w:r>
              <w:rPr>
                <w:rFonts w:hint="eastAsia" w:ascii="宋体" w:hAnsi="宋体"/>
                <w:b/>
                <w:color w:val="000000" w:themeColor="text1"/>
                <w:lang w:eastAsia="zh-CN"/>
              </w:rPr>
              <w:t>。</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ascii="黑体" w:hAnsi="黑体" w:eastAsia="黑体" w:cs="黑体"/>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ascii="黑体" w:hAnsi="黑体" w:eastAsia="黑体" w:cs="黑体"/>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2020</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12</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27</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highlight w:val="none"/>
        </w:rPr>
      </w:pPr>
      <w:r>
        <w:rPr>
          <w:rFonts w:hint="eastAsia"/>
          <w:b/>
          <w:bCs/>
          <w:color w:val="000000" w:themeColor="text1"/>
          <w:szCs w:val="21"/>
          <w:highlight w:val="none"/>
        </w:rPr>
        <w:t>1.  审核中发现的</w:t>
      </w:r>
      <w:r>
        <w:rPr>
          <w:rFonts w:hint="eastAsia" w:ascii="黑体" w:hAnsi="黑体" w:eastAsia="黑体" w:cs="黑体"/>
          <w:b/>
          <w:color w:val="000000" w:themeColor="text1"/>
          <w:spacing w:val="-10"/>
          <w:szCs w:val="21"/>
          <w:highlight w:val="none"/>
        </w:rPr>
        <w:t>■</w:t>
      </w:r>
      <w:r>
        <w:rPr>
          <w:rFonts w:hint="eastAsia"/>
          <w:b/>
          <w:color w:val="000000" w:themeColor="text1"/>
          <w:szCs w:val="21"/>
          <w:highlight w:val="none"/>
        </w:rPr>
        <w:t xml:space="preserve">QMS( </w:t>
      </w:r>
      <w:r>
        <w:rPr>
          <w:rFonts w:hint="eastAsia"/>
          <w:b/>
          <w:color w:val="000000" w:themeColor="text1"/>
          <w:szCs w:val="21"/>
          <w:highlight w:val="none"/>
          <w:lang w:val="en-US" w:eastAsia="zh-CN"/>
        </w:rPr>
        <w:t>1</w:t>
      </w:r>
      <w:r>
        <w:rPr>
          <w:rFonts w:hint="eastAsia"/>
          <w:b/>
          <w:color w:val="000000" w:themeColor="text1"/>
          <w:szCs w:val="21"/>
          <w:highlight w:val="none"/>
        </w:rPr>
        <w:t xml:space="preserve"> )个一般不符合，( </w:t>
      </w:r>
      <w:r>
        <w:rPr>
          <w:rFonts w:hint="eastAsia"/>
          <w:b/>
          <w:color w:val="000000" w:themeColor="text1"/>
          <w:szCs w:val="21"/>
          <w:highlight w:val="none"/>
          <w:lang w:val="en-US" w:eastAsia="zh-CN"/>
        </w:rPr>
        <w:t>0</w:t>
      </w:r>
      <w:r>
        <w:rPr>
          <w:rFonts w:hint="eastAsia"/>
          <w:b/>
          <w:color w:val="000000" w:themeColor="text1"/>
          <w:szCs w:val="21"/>
          <w:highlight w:val="none"/>
        </w:rPr>
        <w:t xml:space="preserve"> )个严重不符合，</w:t>
      </w:r>
      <w:r>
        <w:rPr>
          <w:rFonts w:hint="eastAsia"/>
          <w:b/>
          <w:color w:val="000000" w:themeColor="text1"/>
          <w:spacing w:val="-10"/>
          <w:szCs w:val="21"/>
          <w:highlight w:val="none"/>
          <w:lang w:eastAsia="zh-CN"/>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color w:val="000000" w:themeColor="text1"/>
          <w:spacing w:val="-10"/>
          <w:szCs w:val="21"/>
          <w:highlight w:val="none"/>
        </w:rPr>
        <w:t>□</w:t>
      </w:r>
      <w:r>
        <w:rPr>
          <w:rFonts w:hint="eastAsia"/>
          <w:b/>
          <w:color w:val="000000" w:themeColor="text1"/>
          <w:szCs w:val="21"/>
          <w:highlight w:val="none"/>
        </w:rPr>
        <w:t>EMS(   )个一般不符合，(  )个严重不符合，</w:t>
      </w:r>
      <w:r>
        <w:rPr>
          <w:rFonts w:hint="eastAsia"/>
          <w:b/>
          <w:color w:val="000000" w:themeColor="text1"/>
          <w:spacing w:val="-10"/>
          <w:szCs w:val="21"/>
          <w:highlight w:val="none"/>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color w:val="000000" w:themeColor="text1"/>
          <w:spacing w:val="-10"/>
          <w:szCs w:val="21"/>
          <w:highlight w:val="none"/>
        </w:rPr>
        <w:t>□</w:t>
      </w:r>
      <w:r>
        <w:rPr>
          <w:rFonts w:hint="eastAsia"/>
          <w:b/>
          <w:color w:val="000000" w:themeColor="text1"/>
          <w:szCs w:val="21"/>
          <w:highlight w:val="none"/>
        </w:rPr>
        <w:t>OHSMS(   )个一般不符合，(  )个严重不符合，</w:t>
      </w:r>
      <w:r>
        <w:rPr>
          <w:rFonts w:hint="eastAsia"/>
          <w:b/>
          <w:color w:val="000000" w:themeColor="text1"/>
          <w:spacing w:val="-10"/>
          <w:szCs w:val="21"/>
          <w:highlight w:val="none"/>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u w:val="single"/>
        </w:rPr>
      </w:pPr>
      <w:r>
        <w:rPr>
          <w:rFonts w:hint="eastAsia"/>
          <w:b/>
          <w:color w:val="000000" w:themeColor="text1"/>
          <w:szCs w:val="21"/>
          <w:highlight w:val="none"/>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ascii="黑体" w:hAnsi="黑体" w:eastAsia="黑体" w:cs="黑体"/>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日期:   </w:t>
      </w:r>
      <w:r>
        <w:rPr>
          <w:rFonts w:hint="eastAsia"/>
          <w:b/>
          <w:color w:val="000000" w:themeColor="text1"/>
          <w:szCs w:val="21"/>
          <w:lang w:val="en-US" w:eastAsia="zh-CN"/>
        </w:rPr>
        <w:t xml:space="preserve">  </w:t>
      </w:r>
      <w:r>
        <w:rPr>
          <w:rFonts w:hint="eastAsia"/>
          <w:b/>
          <w:color w:val="000000" w:themeColor="text1"/>
          <w:szCs w:val="21"/>
        </w:rPr>
        <w:t xml:space="preserve">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6"/>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szCs w:val="21"/>
        </w:rPr>
        <w:t xml:space="preserve">日期:   </w:t>
      </w:r>
      <w:r>
        <w:rPr>
          <w:rFonts w:hint="eastAsia"/>
          <w:b/>
          <w:color w:val="000000" w:themeColor="text1"/>
          <w:szCs w:val="21"/>
          <w:lang w:val="en-US" w:eastAsia="zh-CN"/>
        </w:rPr>
        <w:t xml:space="preserve">  </w:t>
      </w:r>
      <w:r>
        <w:rPr>
          <w:rFonts w:hint="eastAsia"/>
          <w:b/>
          <w:color w:val="000000" w:themeColor="text1"/>
          <w:szCs w:val="21"/>
        </w:rPr>
        <w:t xml:space="preserve">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numPr>
          <w:ilvl w:val="0"/>
          <w:numId w:val="6"/>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szCs w:val="21"/>
        </w:rPr>
        <w:t xml:space="preserve">日期:   </w:t>
      </w:r>
      <w:r>
        <w:rPr>
          <w:rFonts w:hint="eastAsia"/>
          <w:b/>
          <w:color w:val="000000" w:themeColor="text1"/>
          <w:szCs w:val="21"/>
          <w:lang w:val="en-US" w:eastAsia="zh-CN"/>
        </w:rPr>
        <w:t xml:space="preserve">  </w:t>
      </w:r>
      <w:r>
        <w:rPr>
          <w:rFonts w:hint="eastAsia"/>
          <w:b/>
          <w:color w:val="000000" w:themeColor="text1"/>
          <w:szCs w:val="21"/>
        </w:rPr>
        <w:t xml:space="preserve">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1"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1"/>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DE2F18"/>
    <w:multiLevelType w:val="singleLevel"/>
    <w:tmpl w:val="DFDE2F18"/>
    <w:lvl w:ilvl="0" w:tentative="0">
      <w:start w:val="2"/>
      <w:numFmt w:val="decimal"/>
      <w:suff w:val="nothing"/>
      <w:lvlText w:val="%1、"/>
      <w:lvlJc w:val="left"/>
    </w:lvl>
  </w:abstractNum>
  <w:abstractNum w:abstractNumId="1">
    <w:nsid w:val="12E7352C"/>
    <w:multiLevelType w:val="singleLevel"/>
    <w:tmpl w:val="12E7352C"/>
    <w:lvl w:ilvl="0" w:tentative="0">
      <w:start w:val="2"/>
      <w:numFmt w:val="decimal"/>
      <w:lvlText w:val="%1."/>
      <w:lvlJc w:val="left"/>
      <w:pPr>
        <w:tabs>
          <w:tab w:val="left" w:pos="312"/>
        </w:tabs>
      </w:pPr>
    </w:lvl>
  </w:abstractNum>
  <w:abstractNum w:abstractNumId="2">
    <w:nsid w:val="15921236"/>
    <w:multiLevelType w:val="singleLevel"/>
    <w:tmpl w:val="15921236"/>
    <w:lvl w:ilvl="0" w:tentative="0">
      <w:start w:val="5"/>
      <w:numFmt w:val="decimal"/>
      <w:suff w:val="space"/>
      <w:lvlText w:val="%1."/>
      <w:lvlJc w:val="left"/>
    </w:lvl>
  </w:abstractNum>
  <w:abstractNum w:abstractNumId="3">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992564"/>
    <w:rsid w:val="01641C2F"/>
    <w:rsid w:val="01941409"/>
    <w:rsid w:val="03B8120B"/>
    <w:rsid w:val="05A43829"/>
    <w:rsid w:val="090C1E74"/>
    <w:rsid w:val="098478BC"/>
    <w:rsid w:val="09D069BC"/>
    <w:rsid w:val="0A3E3C89"/>
    <w:rsid w:val="0E302AD0"/>
    <w:rsid w:val="0E5A7E77"/>
    <w:rsid w:val="0E96283C"/>
    <w:rsid w:val="0F0F04E4"/>
    <w:rsid w:val="13972D1B"/>
    <w:rsid w:val="145F25C7"/>
    <w:rsid w:val="1550730F"/>
    <w:rsid w:val="16242686"/>
    <w:rsid w:val="17432619"/>
    <w:rsid w:val="175F1656"/>
    <w:rsid w:val="18FB3241"/>
    <w:rsid w:val="1BE33B6C"/>
    <w:rsid w:val="1C0B775A"/>
    <w:rsid w:val="1D575667"/>
    <w:rsid w:val="1F205D77"/>
    <w:rsid w:val="1F512380"/>
    <w:rsid w:val="209F26DD"/>
    <w:rsid w:val="2190566C"/>
    <w:rsid w:val="21E71447"/>
    <w:rsid w:val="2257581B"/>
    <w:rsid w:val="236916EC"/>
    <w:rsid w:val="23CE2EA0"/>
    <w:rsid w:val="243E4252"/>
    <w:rsid w:val="26291BB5"/>
    <w:rsid w:val="263769FC"/>
    <w:rsid w:val="271109F3"/>
    <w:rsid w:val="27D35F3C"/>
    <w:rsid w:val="27DD0955"/>
    <w:rsid w:val="27E20C12"/>
    <w:rsid w:val="288A3381"/>
    <w:rsid w:val="295A4711"/>
    <w:rsid w:val="2A2E6423"/>
    <w:rsid w:val="2D7129C0"/>
    <w:rsid w:val="2DB458CA"/>
    <w:rsid w:val="2DD43DFB"/>
    <w:rsid w:val="2DD9587B"/>
    <w:rsid w:val="2E3E24DA"/>
    <w:rsid w:val="2E84611B"/>
    <w:rsid w:val="2EF039BF"/>
    <w:rsid w:val="2F7E2ABA"/>
    <w:rsid w:val="2FB51F5C"/>
    <w:rsid w:val="31CB3EAF"/>
    <w:rsid w:val="31DC1DE3"/>
    <w:rsid w:val="36AB19F1"/>
    <w:rsid w:val="36F35BE2"/>
    <w:rsid w:val="38896797"/>
    <w:rsid w:val="395F52E6"/>
    <w:rsid w:val="39B53B13"/>
    <w:rsid w:val="39FE6AE1"/>
    <w:rsid w:val="3A346ED0"/>
    <w:rsid w:val="3B3E1BF5"/>
    <w:rsid w:val="3B5317E5"/>
    <w:rsid w:val="3BD71E68"/>
    <w:rsid w:val="3D1E7F52"/>
    <w:rsid w:val="3DC80AB2"/>
    <w:rsid w:val="3DEA0929"/>
    <w:rsid w:val="3F0C5048"/>
    <w:rsid w:val="3FC95DDF"/>
    <w:rsid w:val="42CD4B93"/>
    <w:rsid w:val="438B5981"/>
    <w:rsid w:val="44010815"/>
    <w:rsid w:val="450E28BB"/>
    <w:rsid w:val="46215AE6"/>
    <w:rsid w:val="465F644C"/>
    <w:rsid w:val="4D4967D6"/>
    <w:rsid w:val="4D604A6C"/>
    <w:rsid w:val="502B37C7"/>
    <w:rsid w:val="5061099D"/>
    <w:rsid w:val="5091435D"/>
    <w:rsid w:val="552F2952"/>
    <w:rsid w:val="55CD77B8"/>
    <w:rsid w:val="562D7BCF"/>
    <w:rsid w:val="59774AE2"/>
    <w:rsid w:val="5A8129C4"/>
    <w:rsid w:val="5BD95BC2"/>
    <w:rsid w:val="5D4A018B"/>
    <w:rsid w:val="5EB60C6A"/>
    <w:rsid w:val="5F851DEA"/>
    <w:rsid w:val="603608E1"/>
    <w:rsid w:val="606945BC"/>
    <w:rsid w:val="60C850AA"/>
    <w:rsid w:val="62BF4989"/>
    <w:rsid w:val="63B63738"/>
    <w:rsid w:val="64B7203D"/>
    <w:rsid w:val="65DC7077"/>
    <w:rsid w:val="674C6F5B"/>
    <w:rsid w:val="69EC3143"/>
    <w:rsid w:val="6BAF7096"/>
    <w:rsid w:val="6D936E03"/>
    <w:rsid w:val="6E8A58FC"/>
    <w:rsid w:val="6F800542"/>
    <w:rsid w:val="70090F35"/>
    <w:rsid w:val="71274907"/>
    <w:rsid w:val="72B9053A"/>
    <w:rsid w:val="73C45732"/>
    <w:rsid w:val="74542A48"/>
    <w:rsid w:val="74C47086"/>
    <w:rsid w:val="7558410E"/>
    <w:rsid w:val="7620758A"/>
    <w:rsid w:val="768A73E4"/>
    <w:rsid w:val="76CB1261"/>
    <w:rsid w:val="774C51FB"/>
    <w:rsid w:val="7799486C"/>
    <w:rsid w:val="79002962"/>
    <w:rsid w:val="7AE02C43"/>
    <w:rsid w:val="7D2C7C31"/>
    <w:rsid w:val="7D8256D8"/>
    <w:rsid w:val="7EDD3DFD"/>
    <w:rsid w:val="7F4F0D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5"/>
        <o:r id="V:Rule2"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2</TotalTime>
  <ScaleCrop>false</ScaleCrop>
  <LinksUpToDate>false</LinksUpToDate>
  <CharactersWithSpaces>5143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2020-12-26T05:53:31Z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