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p>
      <w:pPr>
        <w:spacing w:line="480" w:lineRule="exact"/>
        <w:jc w:val="center"/>
        <w:rPr>
          <w:rFonts w:hint="eastAsia" w:ascii="隶书" w:hAnsi="宋体" w:eastAsia="宋体"/>
          <w:bCs/>
          <w:color w:val="000000"/>
          <w:sz w:val="36"/>
          <w:szCs w:val="36"/>
          <w:lang w:eastAsia="zh-CN"/>
        </w:rPr>
      </w:pPr>
      <w:r>
        <w:rPr>
          <w:rFonts w:hint="eastAsia"/>
          <w:sz w:val="24"/>
          <w:szCs w:val="24"/>
        </w:rPr>
        <w:t>受审核部门：</w:t>
      </w:r>
      <w:r>
        <w:rPr>
          <w:rFonts w:hint="eastAsia"/>
          <w:sz w:val="24"/>
          <w:szCs w:val="24"/>
          <w:lang w:eastAsia="zh-CN"/>
        </w:rPr>
        <w:t>管理层、综合部、生产部、质量部、市场部</w:t>
      </w:r>
      <w:r>
        <w:rPr>
          <w:rFonts w:hint="eastAsia"/>
          <w:sz w:val="24"/>
          <w:szCs w:val="24"/>
          <w:lang w:val="en-US" w:eastAsia="zh-CN"/>
        </w:rPr>
        <w:t xml:space="preserve">      </w:t>
      </w:r>
      <w:r>
        <w:rPr>
          <w:rFonts w:hint="eastAsia"/>
          <w:sz w:val="24"/>
          <w:szCs w:val="24"/>
        </w:rPr>
        <w:t>陪同人员</w:t>
      </w:r>
      <w:r>
        <w:rPr>
          <w:rFonts w:hint="eastAsia"/>
          <w:sz w:val="24"/>
          <w:szCs w:val="24"/>
          <w:lang w:eastAsia="zh-CN"/>
        </w:rPr>
        <w:t>：严波</w:t>
      </w:r>
      <w:r>
        <w:rPr>
          <w:rFonts w:hint="eastAsia"/>
          <w:sz w:val="24"/>
          <w:szCs w:val="24"/>
          <w:lang w:val="en-US" w:eastAsia="zh-CN"/>
        </w:rPr>
        <w:t xml:space="preserve">    </w:t>
      </w:r>
      <w:r>
        <w:rPr>
          <w:rFonts w:hint="eastAsia"/>
          <w:sz w:val="24"/>
          <w:szCs w:val="24"/>
        </w:rPr>
        <w:t>审核员：</w:t>
      </w:r>
      <w:r>
        <w:rPr>
          <w:rFonts w:hint="eastAsia"/>
          <w:sz w:val="24"/>
          <w:szCs w:val="24"/>
          <w:lang w:eastAsia="zh-CN"/>
        </w:rPr>
        <w:t>杨珍全</w:t>
      </w:r>
      <w:r>
        <w:rPr>
          <w:rFonts w:hint="eastAsia"/>
          <w:sz w:val="24"/>
          <w:szCs w:val="24"/>
          <w:lang w:val="en-US" w:eastAsia="zh-CN"/>
        </w:rPr>
        <w:t xml:space="preserve">         </w:t>
      </w:r>
      <w:r>
        <w:rPr>
          <w:rFonts w:hint="eastAsia"/>
          <w:sz w:val="24"/>
          <w:szCs w:val="24"/>
        </w:rPr>
        <w:t>审核时间</w:t>
      </w:r>
      <w:r>
        <w:rPr>
          <w:rFonts w:hint="eastAsia"/>
          <w:sz w:val="24"/>
          <w:szCs w:val="24"/>
          <w:lang w:val="en-US" w:eastAsia="zh-CN"/>
        </w:rPr>
        <w:t>:</w:t>
      </w:r>
      <w:r>
        <w:rPr>
          <w:rFonts w:hint="eastAsia"/>
          <w:sz w:val="24"/>
          <w:szCs w:val="24"/>
          <w:lang w:eastAsia="zh-CN"/>
        </w:rPr>
        <w:t>2020年12月21日</w:t>
      </w:r>
    </w:p>
    <w:tbl>
      <w:tblPr>
        <w:tblStyle w:val="9"/>
        <w:tblW w:w="1530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7"/>
        <w:gridCol w:w="9261"/>
        <w:gridCol w:w="1741"/>
        <w:gridCol w:w="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blHeader/>
        </w:trPr>
        <w:tc>
          <w:tcPr>
            <w:tcW w:w="3687" w:type="dxa"/>
            <w:shd w:val="clear" w:color="auto" w:fill="E6E6E6"/>
            <w:noWrap w:val="0"/>
            <w:vAlign w:val="center"/>
          </w:tcPr>
          <w:p>
            <w:pPr>
              <w:spacing w:line="0" w:lineRule="atLeast"/>
              <w:jc w:val="center"/>
              <w:rPr>
                <w:rFonts w:ascii="楷体_GB2312" w:hAnsi="宋体" w:eastAsia="楷体_GB2312"/>
                <w:sz w:val="21"/>
                <w:szCs w:val="21"/>
              </w:rPr>
            </w:pPr>
            <w:r>
              <w:rPr>
                <w:rFonts w:hint="eastAsia" w:ascii="宋体" w:hAnsi="宋体"/>
                <w:sz w:val="21"/>
                <w:szCs w:val="21"/>
              </w:rPr>
              <w:t>检  查  表</w:t>
            </w:r>
          </w:p>
        </w:tc>
        <w:tc>
          <w:tcPr>
            <w:tcW w:w="9261" w:type="dxa"/>
            <w:shd w:val="clear" w:color="auto" w:fill="E6E6E6"/>
            <w:noWrap w:val="0"/>
            <w:vAlign w:val="center"/>
          </w:tcPr>
          <w:p>
            <w:pPr>
              <w:spacing w:line="0" w:lineRule="atLeast"/>
              <w:jc w:val="center"/>
              <w:rPr>
                <w:rFonts w:ascii="楷体_GB2312" w:hAnsi="宋体" w:eastAsia="楷体_GB2312"/>
                <w:sz w:val="21"/>
                <w:szCs w:val="21"/>
              </w:rPr>
            </w:pPr>
            <w:r>
              <w:rPr>
                <w:rFonts w:hint="eastAsia" w:ascii="宋体" w:hAnsi="宋体"/>
                <w:sz w:val="21"/>
                <w:szCs w:val="21"/>
              </w:rPr>
              <w:t>审   核   记   录</w:t>
            </w:r>
          </w:p>
        </w:tc>
        <w:tc>
          <w:tcPr>
            <w:tcW w:w="1741" w:type="dxa"/>
            <w:shd w:val="clear" w:color="auto" w:fill="E6E6E6"/>
            <w:noWrap w:val="0"/>
            <w:vAlign w:val="center"/>
          </w:tcPr>
          <w:p>
            <w:pPr>
              <w:spacing w:line="0" w:lineRule="atLeast"/>
              <w:jc w:val="center"/>
              <w:rPr>
                <w:rFonts w:ascii="宋体" w:hAnsi="宋体"/>
                <w:sz w:val="21"/>
                <w:szCs w:val="21"/>
              </w:rPr>
            </w:pPr>
            <w:r>
              <w:rPr>
                <w:rFonts w:hint="eastAsia" w:ascii="宋体" w:hAnsi="宋体"/>
                <w:sz w:val="21"/>
                <w:szCs w:val="21"/>
              </w:rPr>
              <w:t>标准号</w:t>
            </w:r>
          </w:p>
          <w:p>
            <w:pPr>
              <w:spacing w:line="0" w:lineRule="atLeast"/>
              <w:jc w:val="center"/>
              <w:rPr>
                <w:rFonts w:ascii="楷体_GB2312" w:hAnsi="宋体" w:eastAsia="楷体_GB2312"/>
                <w:sz w:val="21"/>
                <w:szCs w:val="21"/>
              </w:rPr>
            </w:pPr>
            <w:r>
              <w:rPr>
                <w:rFonts w:hint="eastAsia" w:ascii="宋体" w:hAnsi="宋体"/>
                <w:sz w:val="21"/>
                <w:szCs w:val="21"/>
              </w:rPr>
              <w:t>条款号</w:t>
            </w:r>
          </w:p>
        </w:tc>
        <w:tc>
          <w:tcPr>
            <w:tcW w:w="614" w:type="dxa"/>
            <w:shd w:val="clear" w:color="auto" w:fill="E6E6E6"/>
            <w:noWrap w:val="0"/>
            <w:vAlign w:val="center"/>
          </w:tcPr>
          <w:p>
            <w:pPr>
              <w:spacing w:line="0" w:lineRule="atLeast"/>
              <w:jc w:val="center"/>
              <w:rPr>
                <w:rFonts w:ascii="楷体_GB2312" w:hAnsi="宋体" w:eastAsia="楷体_GB2312"/>
                <w:sz w:val="21"/>
                <w:szCs w:val="21"/>
              </w:rPr>
            </w:pPr>
            <w:r>
              <w:rPr>
                <w:rFonts w:hint="eastAsia" w:ascii="宋体" w:hAnsi="宋体"/>
                <w:sz w:val="21"/>
                <w:szCs w:val="21"/>
              </w:rPr>
              <w:t>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3" w:hRule="atLeast"/>
        </w:trPr>
        <w:tc>
          <w:tcPr>
            <w:tcW w:w="3687" w:type="dxa"/>
            <w:noWrap w:val="0"/>
            <w:vAlign w:val="top"/>
          </w:tcPr>
          <w:p>
            <w:pPr>
              <w:spacing w:line="400" w:lineRule="exact"/>
              <w:rPr>
                <w:rFonts w:hint="eastAsia"/>
                <w:sz w:val="21"/>
                <w:szCs w:val="21"/>
              </w:rPr>
            </w:pPr>
            <w:r>
              <w:rPr>
                <w:rFonts w:hint="eastAsia"/>
                <w:sz w:val="21"/>
                <w:szCs w:val="21"/>
              </w:rPr>
              <w:t>企业简介、组织机构及场所、资质</w:t>
            </w:r>
          </w:p>
          <w:p>
            <w:pPr>
              <w:spacing w:line="400" w:lineRule="exact"/>
              <w:rPr>
                <w:rFonts w:hint="eastAsia"/>
                <w:sz w:val="21"/>
                <w:szCs w:val="21"/>
              </w:rPr>
            </w:pPr>
            <w:r>
              <w:rPr>
                <w:rFonts w:hint="eastAsia"/>
                <w:sz w:val="21"/>
                <w:szCs w:val="21"/>
              </w:rPr>
              <w:t>QMS审核，询问主要设备、原材料、关键过程</w:t>
            </w:r>
          </w:p>
          <w:p>
            <w:pPr>
              <w:spacing w:line="400" w:lineRule="exact"/>
              <w:rPr>
                <w:rFonts w:hint="eastAsia"/>
                <w:sz w:val="21"/>
                <w:szCs w:val="21"/>
              </w:rPr>
            </w:pPr>
          </w:p>
          <w:p>
            <w:pPr>
              <w:spacing w:line="400" w:lineRule="exact"/>
              <w:rPr>
                <w:rFonts w:hint="eastAsia"/>
                <w:sz w:val="21"/>
                <w:szCs w:val="21"/>
              </w:rPr>
            </w:pPr>
          </w:p>
          <w:p>
            <w:pPr>
              <w:spacing w:line="400" w:lineRule="exact"/>
              <w:rPr>
                <w:rFonts w:hint="eastAsia"/>
                <w:sz w:val="21"/>
                <w:szCs w:val="21"/>
              </w:rPr>
            </w:pPr>
            <w:r>
              <w:rPr>
                <w:rFonts w:hint="eastAsia"/>
                <w:sz w:val="21"/>
                <w:szCs w:val="21"/>
              </w:rPr>
              <w:t>管理体系运行时间（3 个月以上）</w:t>
            </w:r>
          </w:p>
          <w:p>
            <w:pPr>
              <w:spacing w:line="400" w:lineRule="exact"/>
              <w:rPr>
                <w:rFonts w:hint="eastAsia"/>
                <w:sz w:val="21"/>
                <w:szCs w:val="21"/>
              </w:rPr>
            </w:pPr>
            <w:r>
              <w:rPr>
                <w:rFonts w:hint="eastAsia"/>
                <w:sz w:val="21"/>
                <w:szCs w:val="21"/>
              </w:rPr>
              <w:t>确认组织实际与管理体系文件化信息描述的一致性</w:t>
            </w:r>
          </w:p>
          <w:p>
            <w:pPr>
              <w:spacing w:line="400" w:lineRule="exact"/>
              <w:rPr>
                <w:rFonts w:hint="eastAsia"/>
                <w:sz w:val="21"/>
                <w:szCs w:val="21"/>
              </w:rPr>
            </w:pPr>
            <w:r>
              <w:rPr>
                <w:rFonts w:hint="eastAsia"/>
                <w:sz w:val="21"/>
                <w:szCs w:val="21"/>
              </w:rPr>
              <w:t>（如部门设置和负责人，生产和服务等过程）</w:t>
            </w:r>
          </w:p>
          <w:p>
            <w:pPr>
              <w:spacing w:line="400" w:lineRule="exact"/>
              <w:rPr>
                <w:rFonts w:hint="eastAsia"/>
                <w:sz w:val="21"/>
                <w:szCs w:val="21"/>
              </w:rPr>
            </w:pPr>
          </w:p>
          <w:p>
            <w:pPr>
              <w:spacing w:line="400" w:lineRule="exact"/>
              <w:rPr>
                <w:rFonts w:hint="eastAsia"/>
                <w:sz w:val="21"/>
                <w:szCs w:val="21"/>
              </w:rPr>
            </w:pPr>
            <w:r>
              <w:rPr>
                <w:rFonts w:hint="eastAsia"/>
                <w:sz w:val="21"/>
                <w:szCs w:val="21"/>
              </w:rPr>
              <w:t>管理体系文件名称</w:t>
            </w:r>
          </w:p>
          <w:p>
            <w:pPr>
              <w:spacing w:line="400" w:lineRule="exact"/>
              <w:rPr>
                <w:rFonts w:hint="eastAsia"/>
                <w:sz w:val="21"/>
                <w:szCs w:val="21"/>
              </w:rPr>
            </w:pPr>
          </w:p>
        </w:tc>
        <w:tc>
          <w:tcPr>
            <w:tcW w:w="9261" w:type="dxa"/>
            <w:noWrap w:val="0"/>
            <w:vAlign w:val="top"/>
          </w:tcPr>
          <w:p>
            <w:pPr>
              <w:spacing w:line="40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四川光博电子科技有限公司位于德阳市罗江区金山工业园，是一家专业从事SMT来料加工的OEM企业，主要为客户提供产品加工服务，其范围涵盖网络、通信、计算机、高频头等各类产品。公司坐落</w:t>
            </w:r>
            <w:r>
              <w:rPr>
                <w:rFonts w:hint="eastAsia" w:asciiTheme="minorEastAsia" w:hAnsiTheme="minorEastAsia" w:eastAsiaTheme="minorEastAsia" w:cstheme="minorEastAsia"/>
                <w:sz w:val="21"/>
                <w:szCs w:val="21"/>
                <w:lang w:val="de-DE"/>
              </w:rPr>
              <w:t>于四川省德阳市罗江区金山工业园金莲路1号</w:t>
            </w:r>
            <w:r>
              <w:rPr>
                <w:rFonts w:hint="eastAsia" w:asciiTheme="minorEastAsia" w:hAnsiTheme="minorEastAsia" w:eastAsiaTheme="minorEastAsia" w:cstheme="minorEastAsia"/>
                <w:sz w:val="21"/>
                <w:szCs w:val="21"/>
                <w:lang w:eastAsia="zh-CN"/>
              </w:rPr>
              <w:t>，现有员工</w:t>
            </w:r>
            <w:r>
              <w:rPr>
                <w:rFonts w:hint="eastAsia" w:asciiTheme="minorEastAsia" w:hAnsiTheme="minorEastAsia" w:eastAsiaTheme="minorEastAsia" w:cstheme="minorEastAsia"/>
                <w:sz w:val="21"/>
                <w:szCs w:val="21"/>
                <w:lang w:val="en-US" w:eastAsia="zh-CN"/>
              </w:rPr>
              <w:t>15人，</w:t>
            </w:r>
            <w:r>
              <w:rPr>
                <w:rFonts w:hint="eastAsia" w:asciiTheme="minorEastAsia" w:hAnsiTheme="minorEastAsia" w:eastAsiaTheme="minorEastAsia" w:cstheme="minorEastAsia"/>
                <w:sz w:val="21"/>
                <w:szCs w:val="21"/>
              </w:rPr>
              <w:t>生产经营状况</w:t>
            </w:r>
            <w:r>
              <w:rPr>
                <w:rFonts w:hint="eastAsia" w:asciiTheme="minorEastAsia" w:hAnsiTheme="minorEastAsia" w:eastAsiaTheme="minorEastAsia" w:cstheme="minorEastAsia"/>
                <w:sz w:val="21"/>
                <w:szCs w:val="21"/>
                <w:lang w:eastAsia="zh-CN"/>
              </w:rPr>
              <w:t>良好。</w:t>
            </w:r>
          </w:p>
          <w:p>
            <w:pPr>
              <w:spacing w:line="400" w:lineRule="exact"/>
              <w:ind w:firstLine="420" w:firstLineChars="200"/>
              <w:rPr>
                <w:rFonts w:hint="eastAsia" w:ascii="宋体" w:hAnsi="宋体"/>
                <w:sz w:val="21"/>
                <w:szCs w:val="21"/>
                <w:lang w:eastAsia="zh-CN"/>
              </w:rPr>
            </w:pPr>
            <w:r>
              <w:rPr>
                <w:rFonts w:hint="eastAsia" w:ascii="宋体" w:hAnsi="宋体"/>
                <w:sz w:val="21"/>
                <w:szCs w:val="21"/>
                <w:lang w:eastAsia="zh-CN"/>
              </w:rPr>
              <w:t>现场审核核实该公司目前成立了四个部门： 综合部、生产部、质量部、市场部 。 抽查：组织机构图、职能分配表、职责描述，基本保持一致。</w:t>
            </w:r>
          </w:p>
          <w:p>
            <w:pPr>
              <w:spacing w:line="400" w:lineRule="exact"/>
              <w:ind w:firstLine="420" w:firstLineChars="200"/>
              <w:rPr>
                <w:rFonts w:hint="eastAsia" w:ascii="宋体" w:hAnsi="宋体"/>
                <w:sz w:val="21"/>
                <w:szCs w:val="21"/>
              </w:rPr>
            </w:pPr>
            <w:r>
              <w:rPr>
                <w:rFonts w:hint="eastAsia" w:ascii="宋体" w:hAnsi="宋体"/>
                <w:sz w:val="21"/>
                <w:szCs w:val="21"/>
                <w:lang w:eastAsia="zh-CN"/>
              </w:rPr>
              <w:t>现场与负责人沟通</w:t>
            </w:r>
            <w:r>
              <w:rPr>
                <w:rFonts w:hint="eastAsia" w:ascii="宋体" w:hAnsi="宋体"/>
                <w:sz w:val="21"/>
                <w:szCs w:val="21"/>
              </w:rPr>
              <w:t>核实：生产经营场所为四川省德阳市罗江区金山工业园金莲路1号</w:t>
            </w:r>
            <w:r>
              <w:rPr>
                <w:rFonts w:hint="eastAsia" w:ascii="宋体" w:hAnsi="宋体"/>
                <w:sz w:val="21"/>
                <w:szCs w:val="21"/>
                <w:lang w:eastAsia="zh-CN"/>
              </w:rPr>
              <w:t>，</w:t>
            </w:r>
            <w:r>
              <w:rPr>
                <w:rFonts w:hint="eastAsia" w:ascii="宋体" w:hAnsi="宋体"/>
                <w:sz w:val="21"/>
                <w:szCs w:val="21"/>
              </w:rPr>
              <w:t>与任务书一致。</w:t>
            </w:r>
          </w:p>
          <w:p>
            <w:pPr>
              <w:spacing w:line="400" w:lineRule="exact"/>
              <w:ind w:firstLine="420" w:firstLineChars="200"/>
              <w:rPr>
                <w:rFonts w:hint="eastAsia" w:ascii="宋体" w:hAnsi="宋体"/>
                <w:sz w:val="21"/>
                <w:szCs w:val="21"/>
              </w:rPr>
            </w:pPr>
            <w:r>
              <w:rPr>
                <w:rFonts w:hint="eastAsia" w:ascii="宋体" w:hAnsi="宋体"/>
                <w:sz w:val="21"/>
                <w:szCs w:val="21"/>
              </w:rPr>
              <w:t>经确认认证范围为：</w:t>
            </w:r>
            <w:r>
              <w:rPr>
                <w:rFonts w:hint="eastAsia" w:ascii="宋体" w:hAnsi="宋体"/>
                <w:szCs w:val="21"/>
                <w:lang w:eastAsia="zh-CN"/>
              </w:rPr>
              <w:t>PCBA的加工</w:t>
            </w:r>
            <w:r>
              <w:rPr>
                <w:rFonts w:hint="eastAsia" w:ascii="宋体" w:hAnsi="宋体"/>
                <w:sz w:val="21"/>
                <w:szCs w:val="21"/>
              </w:rPr>
              <w:t>，与任务书一致。</w:t>
            </w:r>
          </w:p>
          <w:p>
            <w:pPr>
              <w:spacing w:line="400" w:lineRule="exact"/>
              <w:ind w:firstLine="420" w:firstLineChars="200"/>
              <w:rPr>
                <w:rFonts w:hint="eastAsia" w:ascii="宋体" w:hAnsi="宋体"/>
                <w:color w:val="FF0000"/>
                <w:szCs w:val="21"/>
                <w:highlight w:val="none"/>
                <w:lang w:eastAsia="zh-CN"/>
              </w:rPr>
            </w:pPr>
            <w:r>
              <w:rPr>
                <w:rFonts w:hint="eastAsia" w:ascii="宋体" w:hAnsi="宋体"/>
                <w:sz w:val="21"/>
                <w:szCs w:val="21"/>
              </w:rPr>
              <w:t>询问，主</w:t>
            </w:r>
            <w:r>
              <w:rPr>
                <w:rFonts w:hint="eastAsia" w:ascii="宋体" w:hAnsi="宋体"/>
                <w:szCs w:val="21"/>
              </w:rPr>
              <w:t>要设备为</w:t>
            </w:r>
            <w:r>
              <w:rPr>
                <w:rFonts w:hint="eastAsia" w:ascii="宋体" w:hAnsi="宋体"/>
                <w:szCs w:val="21"/>
                <w:lang w:eastAsia="zh-CN"/>
              </w:rPr>
              <w:t>：</w:t>
            </w:r>
            <w:r>
              <w:rPr>
                <w:rFonts w:hint="eastAsia" w:ascii="宋体" w:hAnsi="宋体"/>
                <w:color w:val="auto"/>
                <w:szCs w:val="21"/>
                <w:lang w:val="en-US" w:eastAsia="zh-CN"/>
              </w:rPr>
              <w:t>电脑及办公设备、贴片机</w:t>
            </w:r>
            <w:r>
              <w:rPr>
                <w:rFonts w:hint="eastAsia" w:ascii="宋体" w:hAnsi="宋体"/>
                <w:color w:val="auto"/>
                <w:szCs w:val="21"/>
                <w:highlight w:val="none"/>
                <w:lang w:val="en-US" w:eastAsia="zh-CN"/>
              </w:rPr>
              <w:t>、接驳台、全自动收板机等</w:t>
            </w:r>
            <w:r>
              <w:rPr>
                <w:rFonts w:hint="eastAsia" w:ascii="宋体" w:hAnsi="宋体"/>
                <w:color w:val="auto"/>
                <w:szCs w:val="21"/>
                <w:highlight w:val="none"/>
              </w:rPr>
              <w:t>。</w:t>
            </w:r>
            <w:r>
              <w:rPr>
                <w:rFonts w:hint="eastAsia" w:ascii="宋体" w:hAnsi="宋体"/>
                <w:color w:val="FF0000"/>
                <w:szCs w:val="21"/>
                <w:highlight w:val="none"/>
                <w:lang w:val="en-US" w:eastAsia="zh-CN"/>
              </w:rPr>
              <w:t>暂无关键工序的确认。</w:t>
            </w:r>
          </w:p>
          <w:p>
            <w:pPr>
              <w:spacing w:line="400" w:lineRule="exact"/>
              <w:ind w:firstLine="420" w:firstLineChars="200"/>
              <w:rPr>
                <w:rFonts w:hint="eastAsia" w:ascii="宋体" w:hAnsi="宋体"/>
                <w:sz w:val="21"/>
                <w:szCs w:val="21"/>
              </w:rPr>
            </w:pPr>
            <w:r>
              <w:rPr>
                <w:rFonts w:hint="eastAsia" w:ascii="宋体" w:hAnsi="宋体"/>
                <w:sz w:val="21"/>
                <w:szCs w:val="21"/>
              </w:rPr>
              <w:t>理体系运行</w:t>
            </w:r>
            <w:r>
              <w:rPr>
                <w:rFonts w:hint="eastAsia" w:ascii="宋体" w:hAnsi="宋体" w:cs="Times New Roman"/>
                <w:sz w:val="21"/>
                <w:szCs w:val="21"/>
              </w:rPr>
              <w:t>时间：</w:t>
            </w:r>
            <w:r>
              <w:rPr>
                <w:rFonts w:hint="eastAsia" w:ascii="宋体" w:hAnsi="宋体" w:cs="Times New Roman"/>
                <w:sz w:val="21"/>
                <w:szCs w:val="21"/>
                <w:lang w:eastAsia="zh-CN"/>
              </w:rPr>
              <w:t>2020年8月11日</w:t>
            </w:r>
            <w:r>
              <w:rPr>
                <w:rFonts w:hint="eastAsia" w:ascii="宋体" w:hAnsi="宋体" w:cs="Times New Roman"/>
                <w:sz w:val="21"/>
                <w:szCs w:val="21"/>
              </w:rPr>
              <w:t>。</w:t>
            </w:r>
          </w:p>
          <w:p>
            <w:pPr>
              <w:spacing w:line="400" w:lineRule="exact"/>
              <w:ind w:firstLine="420" w:firstLineChars="200"/>
              <w:rPr>
                <w:rFonts w:hint="eastAsia" w:ascii="宋体" w:hAnsi="宋体"/>
                <w:sz w:val="21"/>
                <w:szCs w:val="21"/>
                <w:lang w:eastAsia="zh-CN"/>
              </w:rPr>
            </w:pPr>
            <w:r>
              <w:rPr>
                <w:rFonts w:hint="eastAsia" w:ascii="宋体" w:hAnsi="宋体"/>
                <w:sz w:val="21"/>
                <w:szCs w:val="21"/>
              </w:rPr>
              <w:t>组织实际与管理体系文件化信息描述基本一致。有管理层、</w:t>
            </w:r>
            <w:r>
              <w:rPr>
                <w:rFonts w:hint="eastAsia" w:ascii="宋体" w:hAnsi="宋体"/>
                <w:sz w:val="21"/>
                <w:szCs w:val="21"/>
                <w:lang w:eastAsia="zh-CN"/>
              </w:rPr>
              <w:t>综合部、生产部、质量部、市场部。</w:t>
            </w:r>
          </w:p>
          <w:p>
            <w:pPr>
              <w:spacing w:line="400" w:lineRule="exact"/>
              <w:ind w:firstLine="420" w:firstLineChars="200"/>
              <w:rPr>
                <w:rFonts w:hint="eastAsia" w:ascii="宋体" w:hAnsi="宋体" w:cs="Times New Roman"/>
                <w:sz w:val="21"/>
                <w:szCs w:val="21"/>
              </w:rPr>
            </w:pPr>
            <w:r>
              <w:rPr>
                <w:rFonts w:hint="eastAsia" w:ascii="宋体" w:hAnsi="宋体" w:cs="Times New Roman"/>
                <w:sz w:val="21"/>
                <w:szCs w:val="21"/>
              </w:rPr>
              <w:t>查见《相关方要求识别和控制》</w:t>
            </w:r>
          </w:p>
          <w:p>
            <w:pPr>
              <w:spacing w:line="400" w:lineRule="exact"/>
              <w:ind w:firstLine="420" w:firstLineChars="200"/>
              <w:rPr>
                <w:rFonts w:hint="eastAsia" w:ascii="宋体" w:hAnsi="宋体"/>
                <w:sz w:val="21"/>
                <w:szCs w:val="21"/>
                <w:lang w:eastAsia="zh-CN"/>
              </w:rPr>
            </w:pPr>
            <w:r>
              <w:rPr>
                <w:rFonts w:hint="eastAsia" w:ascii="宋体" w:hAnsi="宋体" w:cs="Times New Roman"/>
                <w:sz w:val="21"/>
                <w:szCs w:val="21"/>
              </w:rPr>
              <w:t>相关方：有员工、银行、主管部门、供应商、客户等。</w:t>
            </w:r>
          </w:p>
          <w:p>
            <w:pPr>
              <w:spacing w:line="400" w:lineRule="exact"/>
              <w:ind w:firstLine="420" w:firstLineChars="200"/>
              <w:rPr>
                <w:rFonts w:hint="eastAsia" w:ascii="宋体" w:hAnsi="宋体"/>
                <w:sz w:val="21"/>
                <w:szCs w:val="21"/>
              </w:rPr>
            </w:pPr>
            <w:r>
              <w:rPr>
                <w:rFonts w:hint="eastAsia" w:ascii="宋体" w:hAnsi="宋体"/>
                <w:sz w:val="21"/>
                <w:szCs w:val="21"/>
              </w:rPr>
              <w:t>产品流程见《工艺流程》</w:t>
            </w:r>
          </w:p>
          <w:p>
            <w:pPr>
              <w:spacing w:line="400" w:lineRule="exact"/>
              <w:ind w:firstLine="420" w:firstLineChars="200"/>
              <w:rPr>
                <w:rFonts w:hint="eastAsia" w:ascii="宋体" w:hAnsi="宋体"/>
                <w:sz w:val="21"/>
                <w:szCs w:val="21"/>
              </w:rPr>
            </w:pPr>
            <w:r>
              <w:rPr>
                <w:rFonts w:hint="eastAsia" w:ascii="宋体" w:hAnsi="宋体"/>
                <w:sz w:val="21"/>
                <w:szCs w:val="21"/>
              </w:rPr>
              <w:t>查，管理体系文件名称：质量手册，程序文件。</w:t>
            </w:r>
          </w:p>
          <w:p>
            <w:pPr>
              <w:spacing w:line="400" w:lineRule="exact"/>
              <w:ind w:firstLine="420" w:firstLineChars="200"/>
              <w:rPr>
                <w:rFonts w:hint="eastAsia" w:ascii="宋体" w:hAnsi="宋体"/>
                <w:sz w:val="21"/>
                <w:szCs w:val="21"/>
              </w:rPr>
            </w:pPr>
          </w:p>
        </w:tc>
        <w:tc>
          <w:tcPr>
            <w:tcW w:w="1741" w:type="dxa"/>
            <w:noWrap w:val="0"/>
            <w:vAlign w:val="top"/>
          </w:tcPr>
          <w:p>
            <w:pPr>
              <w:adjustRightInd w:val="0"/>
              <w:snapToGrid w:val="0"/>
              <w:rPr>
                <w:rFonts w:ascii="宋体" w:hAnsi="宋体" w:cs="宋体"/>
                <w:color w:val="auto"/>
                <w:szCs w:val="21"/>
                <w:highlight w:val="none"/>
              </w:rPr>
            </w:pPr>
            <w:r>
              <w:rPr>
                <w:rFonts w:hint="eastAsia" w:ascii="宋体" w:hAnsi="宋体"/>
                <w:color w:val="auto"/>
                <w:szCs w:val="21"/>
                <w:highlight w:val="none"/>
              </w:rPr>
              <w:t>Q:</w:t>
            </w:r>
            <w:r>
              <w:rPr>
                <w:rFonts w:hint="eastAsia" w:ascii="宋体" w:hAnsi="宋体" w:cs="宋体"/>
                <w:color w:val="auto"/>
                <w:szCs w:val="21"/>
                <w:highlight w:val="none"/>
              </w:rPr>
              <w:t>4.1;4.2;4.3;4.4</w:t>
            </w:r>
          </w:p>
          <w:p>
            <w:pPr>
              <w:spacing w:line="440" w:lineRule="exact"/>
              <w:jc w:val="center"/>
              <w:rPr>
                <w:rFonts w:ascii="宋体" w:hAnsi="宋体"/>
                <w:color w:val="auto"/>
                <w:szCs w:val="21"/>
                <w:highlight w:val="none"/>
              </w:rPr>
            </w:pPr>
          </w:p>
          <w:p>
            <w:pPr>
              <w:spacing w:line="440" w:lineRule="exact"/>
              <w:rPr>
                <w:rFonts w:ascii="宋体" w:hAnsi="宋体"/>
                <w:color w:val="auto"/>
                <w:szCs w:val="21"/>
                <w:highlight w:val="none"/>
              </w:rPr>
            </w:pPr>
          </w:p>
          <w:p>
            <w:pPr>
              <w:spacing w:line="440" w:lineRule="exact"/>
              <w:rPr>
                <w:rFonts w:ascii="宋体" w:hAnsi="宋体"/>
                <w:color w:val="auto"/>
                <w:szCs w:val="21"/>
                <w:highlight w:val="none"/>
              </w:rPr>
            </w:pPr>
          </w:p>
          <w:p>
            <w:pPr>
              <w:spacing w:line="440" w:lineRule="exact"/>
              <w:rPr>
                <w:rFonts w:ascii="宋体" w:hAnsi="宋体"/>
                <w:color w:val="auto"/>
                <w:szCs w:val="21"/>
                <w:highlight w:val="none"/>
              </w:rPr>
            </w:pPr>
          </w:p>
          <w:p>
            <w:pPr>
              <w:spacing w:line="440" w:lineRule="exact"/>
              <w:rPr>
                <w:rFonts w:ascii="宋体" w:hAnsi="宋体"/>
                <w:color w:val="auto"/>
                <w:szCs w:val="21"/>
                <w:highlight w:val="none"/>
              </w:rPr>
            </w:pPr>
          </w:p>
          <w:p>
            <w:pPr>
              <w:spacing w:line="440" w:lineRule="exact"/>
              <w:rPr>
                <w:rFonts w:ascii="宋体" w:hAnsi="宋体"/>
                <w:color w:val="auto"/>
                <w:szCs w:val="21"/>
                <w:highlight w:val="none"/>
              </w:rPr>
            </w:pPr>
          </w:p>
          <w:p>
            <w:pPr>
              <w:spacing w:line="440" w:lineRule="exact"/>
              <w:rPr>
                <w:rFonts w:ascii="宋体" w:hAnsi="宋体"/>
                <w:color w:val="auto"/>
                <w:szCs w:val="21"/>
                <w:highlight w:val="none"/>
              </w:rPr>
            </w:pPr>
          </w:p>
          <w:p>
            <w:pPr>
              <w:spacing w:line="440" w:lineRule="exact"/>
              <w:rPr>
                <w:rFonts w:ascii="宋体" w:hAnsi="宋体"/>
                <w:color w:val="auto"/>
                <w:szCs w:val="21"/>
                <w:highlight w:val="none"/>
              </w:rPr>
            </w:pPr>
          </w:p>
          <w:p>
            <w:pPr>
              <w:spacing w:line="440" w:lineRule="exact"/>
              <w:rPr>
                <w:rFonts w:ascii="宋体" w:hAnsi="宋体"/>
                <w:color w:val="auto"/>
                <w:szCs w:val="21"/>
                <w:highlight w:val="none"/>
              </w:rPr>
            </w:pPr>
          </w:p>
          <w:p>
            <w:pPr>
              <w:spacing w:line="440" w:lineRule="exact"/>
              <w:rPr>
                <w:rFonts w:ascii="宋体" w:hAnsi="宋体"/>
                <w:color w:val="auto"/>
                <w:szCs w:val="21"/>
                <w:highlight w:val="none"/>
              </w:rPr>
            </w:pPr>
          </w:p>
          <w:p>
            <w:pPr>
              <w:spacing w:line="440" w:lineRule="exact"/>
              <w:rPr>
                <w:rFonts w:ascii="宋体" w:hAnsi="宋体"/>
                <w:color w:val="auto"/>
                <w:szCs w:val="21"/>
                <w:highlight w:val="none"/>
              </w:rPr>
            </w:pPr>
          </w:p>
          <w:p>
            <w:pPr>
              <w:spacing w:line="440" w:lineRule="exact"/>
              <w:jc w:val="center"/>
              <w:rPr>
                <w:rFonts w:ascii="宋体" w:hAnsi="宋体"/>
                <w:color w:val="auto"/>
                <w:szCs w:val="21"/>
                <w:highlight w:val="none"/>
              </w:rPr>
            </w:pPr>
          </w:p>
          <w:p>
            <w:pPr>
              <w:spacing w:line="440" w:lineRule="exact"/>
              <w:rPr>
                <w:rFonts w:ascii="宋体" w:hAnsi="宋体" w:eastAsia="宋体" w:cs="Times New Roman"/>
                <w:color w:val="auto"/>
                <w:kern w:val="2"/>
                <w:sz w:val="21"/>
                <w:szCs w:val="21"/>
                <w:highlight w:val="none"/>
                <w:lang w:val="en-US" w:eastAsia="zh-CN" w:bidi="ar-SA"/>
              </w:rPr>
            </w:pPr>
          </w:p>
        </w:tc>
        <w:tc>
          <w:tcPr>
            <w:tcW w:w="614" w:type="dxa"/>
            <w:noWrap w:val="0"/>
            <w:vAlign w:val="top"/>
          </w:tcPr>
          <w:p>
            <w:pPr>
              <w:spacing w:line="44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符合</w:t>
            </w:r>
          </w:p>
          <w:p>
            <w:pPr>
              <w:spacing w:line="440" w:lineRule="exact"/>
              <w:rPr>
                <w:rFonts w:ascii="宋体" w:hAnsi="宋体"/>
                <w:color w:val="auto"/>
                <w:szCs w:val="21"/>
                <w:highlight w:val="none"/>
              </w:rPr>
            </w:pPr>
          </w:p>
          <w:p>
            <w:pPr>
              <w:spacing w:line="440" w:lineRule="exact"/>
              <w:jc w:val="center"/>
              <w:rPr>
                <w:rFonts w:ascii="宋体" w:hAnsi="宋体"/>
                <w:color w:val="auto"/>
                <w:szCs w:val="21"/>
                <w:highlight w:val="none"/>
              </w:rPr>
            </w:pPr>
          </w:p>
          <w:p>
            <w:pPr>
              <w:spacing w:line="440" w:lineRule="exact"/>
              <w:rPr>
                <w:rFonts w:ascii="宋体" w:hAnsi="宋体"/>
                <w:color w:val="auto"/>
                <w:szCs w:val="21"/>
                <w:highlight w:val="none"/>
              </w:rPr>
            </w:pPr>
          </w:p>
          <w:p>
            <w:pPr>
              <w:spacing w:line="440" w:lineRule="exact"/>
              <w:rPr>
                <w:rFonts w:ascii="宋体" w:hAnsi="宋体"/>
                <w:color w:val="auto"/>
                <w:szCs w:val="21"/>
                <w:highlight w:val="none"/>
              </w:rPr>
            </w:pPr>
          </w:p>
          <w:p>
            <w:pPr>
              <w:spacing w:line="440" w:lineRule="exact"/>
              <w:rPr>
                <w:rFonts w:ascii="宋体" w:hAnsi="宋体"/>
                <w:color w:val="auto"/>
                <w:szCs w:val="21"/>
                <w:highlight w:val="none"/>
              </w:rPr>
            </w:pPr>
          </w:p>
          <w:p>
            <w:pPr>
              <w:spacing w:line="440" w:lineRule="exact"/>
              <w:rPr>
                <w:rFonts w:ascii="宋体" w:hAnsi="宋体"/>
                <w:color w:val="auto"/>
                <w:szCs w:val="21"/>
                <w:highlight w:val="none"/>
              </w:rPr>
            </w:pPr>
          </w:p>
          <w:p>
            <w:pPr>
              <w:spacing w:line="440" w:lineRule="exact"/>
              <w:rPr>
                <w:rFonts w:ascii="宋体" w:hAnsi="宋体"/>
                <w:color w:val="auto"/>
                <w:szCs w:val="21"/>
                <w:highlight w:val="none"/>
              </w:rPr>
            </w:pPr>
          </w:p>
          <w:p>
            <w:pPr>
              <w:spacing w:line="440" w:lineRule="exact"/>
              <w:rPr>
                <w:rFonts w:ascii="宋体" w:hAnsi="宋体"/>
                <w:color w:val="auto"/>
                <w:szCs w:val="21"/>
                <w:highlight w:val="none"/>
              </w:rPr>
            </w:pPr>
          </w:p>
          <w:p>
            <w:pPr>
              <w:spacing w:line="440" w:lineRule="exact"/>
              <w:rPr>
                <w:rFonts w:ascii="宋体" w:hAnsi="宋体"/>
                <w:color w:val="auto"/>
                <w:szCs w:val="21"/>
                <w:highlight w:val="none"/>
              </w:rPr>
            </w:pPr>
          </w:p>
          <w:p>
            <w:pPr>
              <w:spacing w:line="440" w:lineRule="exact"/>
              <w:rPr>
                <w:rFonts w:ascii="宋体" w:hAnsi="宋体"/>
                <w:color w:val="auto"/>
                <w:szCs w:val="21"/>
                <w:highlight w:val="none"/>
              </w:rPr>
            </w:pPr>
          </w:p>
          <w:p>
            <w:pPr>
              <w:spacing w:line="440" w:lineRule="exact"/>
              <w:jc w:val="center"/>
              <w:rPr>
                <w:rFonts w:ascii="宋体" w:hAnsi="宋体" w:eastAsia="宋体" w:cs="Times New Roman"/>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7" w:hRule="atLeast"/>
        </w:trPr>
        <w:tc>
          <w:tcPr>
            <w:tcW w:w="3687" w:type="dxa"/>
            <w:noWrap w:val="0"/>
            <w:vAlign w:val="top"/>
          </w:tcPr>
          <w:p>
            <w:pPr>
              <w:widowControl/>
              <w:spacing w:line="400" w:lineRule="exact"/>
              <w:rPr>
                <w:rFonts w:hint="eastAsia" w:ascii="宋体" w:hAnsi="宋体"/>
                <w:sz w:val="21"/>
                <w:szCs w:val="21"/>
              </w:rPr>
            </w:pPr>
            <w:r>
              <w:rPr>
                <w:rFonts w:hint="eastAsia" w:ascii="宋体" w:hAnsi="宋体"/>
                <w:sz w:val="21"/>
                <w:szCs w:val="21"/>
              </w:rPr>
              <w:t>相关法规</w:t>
            </w:r>
          </w:p>
          <w:p>
            <w:pPr>
              <w:widowControl/>
              <w:spacing w:line="400" w:lineRule="exact"/>
              <w:rPr>
                <w:rFonts w:hint="eastAsia" w:ascii="宋体" w:hAnsi="宋体"/>
                <w:sz w:val="21"/>
                <w:szCs w:val="21"/>
              </w:rPr>
            </w:pPr>
          </w:p>
          <w:p>
            <w:pPr>
              <w:widowControl/>
              <w:spacing w:line="400" w:lineRule="exact"/>
              <w:rPr>
                <w:rFonts w:hint="eastAsia" w:ascii="宋体" w:hAnsi="宋体"/>
                <w:sz w:val="21"/>
                <w:szCs w:val="21"/>
              </w:rPr>
            </w:pPr>
          </w:p>
          <w:p>
            <w:pPr>
              <w:widowControl/>
              <w:spacing w:line="400" w:lineRule="exact"/>
              <w:rPr>
                <w:rFonts w:hint="eastAsia" w:ascii="宋体" w:hAnsi="宋体"/>
                <w:sz w:val="21"/>
                <w:szCs w:val="21"/>
              </w:rPr>
            </w:pPr>
            <w:r>
              <w:rPr>
                <w:rFonts w:hint="eastAsia" w:ascii="宋体" w:hAnsi="宋体"/>
                <w:sz w:val="21"/>
                <w:szCs w:val="21"/>
              </w:rPr>
              <w:t>执行的产品标准（QMS）</w:t>
            </w:r>
          </w:p>
          <w:p>
            <w:pPr>
              <w:widowControl/>
              <w:spacing w:line="400" w:lineRule="exact"/>
              <w:rPr>
                <w:rFonts w:hint="eastAsia" w:ascii="宋体" w:hAnsi="宋体"/>
                <w:sz w:val="21"/>
                <w:szCs w:val="21"/>
              </w:rPr>
            </w:pPr>
          </w:p>
          <w:p>
            <w:pPr>
              <w:widowControl/>
              <w:spacing w:line="400" w:lineRule="exact"/>
              <w:rPr>
                <w:rFonts w:hint="eastAsia" w:ascii="宋体" w:hAnsi="宋体"/>
                <w:sz w:val="21"/>
                <w:szCs w:val="21"/>
              </w:rPr>
            </w:pPr>
          </w:p>
          <w:p>
            <w:pPr>
              <w:widowControl/>
              <w:spacing w:line="400" w:lineRule="exact"/>
              <w:rPr>
                <w:rFonts w:hint="eastAsia" w:ascii="宋体" w:hAnsi="宋体"/>
                <w:sz w:val="21"/>
                <w:szCs w:val="21"/>
              </w:rPr>
            </w:pPr>
            <w:r>
              <w:rPr>
                <w:rFonts w:hint="eastAsia" w:ascii="宋体" w:hAnsi="宋体"/>
                <w:sz w:val="21"/>
                <w:szCs w:val="21"/>
              </w:rPr>
              <w:t>产品质量监督抽查情况（QMS）</w:t>
            </w:r>
          </w:p>
        </w:tc>
        <w:tc>
          <w:tcPr>
            <w:tcW w:w="9261" w:type="dxa"/>
            <w:noWrap w:val="0"/>
            <w:vAlign w:val="top"/>
          </w:tcPr>
          <w:p>
            <w:pPr>
              <w:widowControl/>
              <w:spacing w:line="400" w:lineRule="exact"/>
              <w:rPr>
                <w:rFonts w:hint="eastAsia" w:ascii="宋体" w:hAnsi="宋体"/>
                <w:sz w:val="21"/>
                <w:szCs w:val="21"/>
              </w:rPr>
            </w:pPr>
            <w:r>
              <w:rPr>
                <w:rFonts w:hint="eastAsia" w:ascii="宋体" w:hAnsi="宋体"/>
                <w:sz w:val="21"/>
                <w:szCs w:val="21"/>
              </w:rPr>
              <w:t>中华人民共和国合同法、中华人民共和国劳动法、中华人民共和国安全消防法、中华人民共和国产品质量法等。</w:t>
            </w:r>
          </w:p>
          <w:p>
            <w:pPr>
              <w:widowControl/>
              <w:spacing w:line="400" w:lineRule="exact"/>
              <w:rPr>
                <w:rFonts w:hint="eastAsia" w:ascii="宋体" w:hAnsi="宋体"/>
                <w:sz w:val="21"/>
                <w:szCs w:val="21"/>
              </w:rPr>
            </w:pPr>
          </w:p>
          <w:p>
            <w:pPr>
              <w:widowControl/>
              <w:spacing w:line="400" w:lineRule="exact"/>
              <w:rPr>
                <w:rFonts w:hint="eastAsia" w:ascii="宋体" w:hAnsi="宋体" w:cs="Times New Roman"/>
                <w:color w:val="auto"/>
                <w:sz w:val="21"/>
                <w:szCs w:val="21"/>
                <w:highlight w:val="none"/>
                <w:lang w:eastAsia="zh-CN"/>
              </w:rPr>
            </w:pPr>
            <w:r>
              <w:rPr>
                <w:rFonts w:hint="eastAsia" w:ascii="宋体" w:hAnsi="宋体" w:cs="Times New Roman"/>
                <w:color w:val="auto"/>
                <w:sz w:val="21"/>
                <w:szCs w:val="21"/>
                <w:highlight w:val="none"/>
                <w:lang w:val="en-US" w:eastAsia="zh-CN"/>
              </w:rPr>
              <w:t>目前加工的PCBA其范围涵盖网络、通信、计算机、高频头等各类产品，按国家相关标准及</w:t>
            </w:r>
            <w:r>
              <w:rPr>
                <w:rFonts w:hint="eastAsia" w:ascii="宋体" w:hAnsi="宋体" w:cs="Times New Roman"/>
                <w:color w:val="auto"/>
                <w:sz w:val="21"/>
                <w:szCs w:val="21"/>
                <w:highlight w:val="none"/>
                <w:lang w:eastAsia="zh-CN"/>
              </w:rPr>
              <w:t>客户要求生产。</w:t>
            </w:r>
          </w:p>
          <w:p>
            <w:pPr>
              <w:widowControl/>
              <w:spacing w:line="400" w:lineRule="exact"/>
              <w:rPr>
                <w:rFonts w:hint="eastAsia" w:ascii="宋体" w:hAnsi="宋体"/>
                <w:sz w:val="21"/>
                <w:szCs w:val="21"/>
                <w:lang w:val="en-US" w:eastAsia="zh-CN"/>
              </w:rPr>
            </w:pPr>
          </w:p>
          <w:p>
            <w:pPr>
              <w:widowControl/>
              <w:spacing w:line="400" w:lineRule="exact"/>
              <w:rPr>
                <w:rFonts w:hint="eastAsia"/>
                <w:b/>
                <w:sz w:val="20"/>
                <w:szCs w:val="22"/>
                <w:lang w:val="en-US" w:eastAsia="zh-CN"/>
              </w:rPr>
            </w:pPr>
          </w:p>
          <w:p>
            <w:pPr>
              <w:widowControl/>
              <w:spacing w:line="400" w:lineRule="exact"/>
              <w:rPr>
                <w:rFonts w:hint="eastAsia" w:ascii="宋体" w:hAnsi="宋体"/>
                <w:sz w:val="21"/>
                <w:szCs w:val="21"/>
              </w:rPr>
            </w:pPr>
            <w:r>
              <w:rPr>
                <w:rFonts w:hint="eastAsia" w:ascii="宋体" w:hAnsi="宋体"/>
                <w:color w:val="auto"/>
                <w:sz w:val="21"/>
                <w:szCs w:val="21"/>
                <w:lang w:val="en-US" w:eastAsia="zh-CN"/>
              </w:rPr>
              <w:t>无。</w:t>
            </w:r>
          </w:p>
        </w:tc>
        <w:tc>
          <w:tcPr>
            <w:tcW w:w="1741" w:type="dxa"/>
            <w:noWrap w:val="0"/>
            <w:vAlign w:val="top"/>
          </w:tcPr>
          <w:p>
            <w:pPr>
              <w:adjustRightInd w:val="0"/>
              <w:snapToGrid w:val="0"/>
              <w:rPr>
                <w:rFonts w:hint="eastAsia" w:ascii="宋体" w:hAnsi="宋体" w:cs="Times New Roman"/>
                <w:color w:val="auto"/>
                <w:szCs w:val="21"/>
                <w:highlight w:val="none"/>
              </w:rPr>
            </w:pPr>
            <w:r>
              <w:rPr>
                <w:rFonts w:hint="eastAsia" w:ascii="宋体" w:hAnsi="宋体" w:cs="Times New Roman"/>
                <w:color w:val="auto"/>
                <w:szCs w:val="21"/>
                <w:highlight w:val="none"/>
              </w:rPr>
              <w:t>Q:6.1.3、9.1.2</w:t>
            </w:r>
          </w:p>
          <w:p>
            <w:pPr>
              <w:adjustRightInd w:val="0"/>
              <w:snapToGrid w:val="0"/>
              <w:rPr>
                <w:rFonts w:hint="eastAsia" w:ascii="宋体" w:hAnsi="宋体" w:cs="Times New Roman"/>
                <w:color w:val="auto"/>
                <w:szCs w:val="21"/>
                <w:highlight w:val="none"/>
              </w:rPr>
            </w:pPr>
          </w:p>
          <w:p>
            <w:pPr>
              <w:adjustRightInd w:val="0"/>
              <w:snapToGrid w:val="0"/>
              <w:rPr>
                <w:rFonts w:hint="eastAsia" w:ascii="宋体" w:hAnsi="宋体" w:cs="Times New Roman"/>
                <w:color w:val="auto"/>
                <w:szCs w:val="21"/>
                <w:highlight w:val="none"/>
              </w:rPr>
            </w:pPr>
          </w:p>
          <w:p>
            <w:pPr>
              <w:adjustRightInd w:val="0"/>
              <w:snapToGrid w:val="0"/>
              <w:rPr>
                <w:rFonts w:hint="eastAsia" w:ascii="宋体" w:hAnsi="宋体" w:cs="Times New Roman"/>
                <w:color w:val="auto"/>
                <w:szCs w:val="21"/>
                <w:highlight w:val="none"/>
              </w:rPr>
            </w:pPr>
          </w:p>
          <w:p>
            <w:pPr>
              <w:adjustRightInd w:val="0"/>
              <w:snapToGrid w:val="0"/>
              <w:rPr>
                <w:rFonts w:hint="eastAsia" w:ascii="宋体" w:hAnsi="宋体" w:cs="Times New Roman"/>
                <w:color w:val="auto"/>
                <w:szCs w:val="21"/>
                <w:highlight w:val="none"/>
              </w:rPr>
            </w:pPr>
          </w:p>
          <w:p>
            <w:pPr>
              <w:adjustRightInd w:val="0"/>
              <w:snapToGrid w:val="0"/>
              <w:rPr>
                <w:rFonts w:hint="eastAsia" w:ascii="宋体" w:hAnsi="宋体" w:cs="Times New Roman"/>
                <w:color w:val="auto"/>
                <w:szCs w:val="21"/>
                <w:highlight w:val="none"/>
              </w:rPr>
            </w:pPr>
          </w:p>
          <w:p>
            <w:pPr>
              <w:adjustRightInd w:val="0"/>
              <w:snapToGrid w:val="0"/>
              <w:rPr>
                <w:rFonts w:hint="eastAsia" w:ascii="宋体" w:hAnsi="宋体" w:eastAsia="宋体" w:cs="Times New Roman"/>
                <w:color w:val="auto"/>
                <w:kern w:val="2"/>
                <w:sz w:val="21"/>
                <w:szCs w:val="21"/>
                <w:highlight w:val="none"/>
                <w:lang w:val="en-US" w:eastAsia="zh-CN" w:bidi="ar-SA"/>
              </w:rPr>
            </w:pPr>
          </w:p>
        </w:tc>
        <w:tc>
          <w:tcPr>
            <w:tcW w:w="614" w:type="dxa"/>
            <w:noWrap w:val="0"/>
            <w:vAlign w:val="top"/>
          </w:tcPr>
          <w:p>
            <w:pPr>
              <w:adjustRightInd w:val="0"/>
              <w:snapToGrid w:val="0"/>
              <w:rPr>
                <w:rFonts w:hint="eastAsia" w:ascii="宋体" w:hAnsi="宋体" w:cs="Times New Roman"/>
                <w:color w:val="auto"/>
                <w:szCs w:val="21"/>
                <w:highlight w:val="none"/>
              </w:rPr>
            </w:pPr>
            <w:r>
              <w:rPr>
                <w:rFonts w:hint="eastAsia" w:ascii="宋体" w:hAnsi="宋体" w:cs="Times New Roman"/>
                <w:color w:val="auto"/>
                <w:szCs w:val="21"/>
                <w:highlight w:val="none"/>
              </w:rPr>
              <w:t>符合</w:t>
            </w:r>
          </w:p>
          <w:p>
            <w:pPr>
              <w:adjustRightInd w:val="0"/>
              <w:snapToGrid w:val="0"/>
              <w:rPr>
                <w:rFonts w:hint="eastAsia" w:ascii="宋体" w:hAnsi="宋体" w:cs="Times New Roman"/>
                <w:color w:val="auto"/>
                <w:szCs w:val="21"/>
                <w:highlight w:val="none"/>
              </w:rPr>
            </w:pPr>
          </w:p>
          <w:p>
            <w:pPr>
              <w:adjustRightInd w:val="0"/>
              <w:snapToGrid w:val="0"/>
              <w:rPr>
                <w:rFonts w:hint="eastAsia" w:ascii="宋体" w:hAnsi="宋体" w:cs="Times New Roman"/>
                <w:color w:val="auto"/>
                <w:szCs w:val="21"/>
                <w:highlight w:val="none"/>
              </w:rPr>
            </w:pPr>
          </w:p>
          <w:p>
            <w:pPr>
              <w:adjustRightInd w:val="0"/>
              <w:snapToGrid w:val="0"/>
              <w:rPr>
                <w:rFonts w:hint="eastAsia" w:ascii="宋体" w:hAnsi="宋体" w:cs="Times New Roman"/>
                <w:color w:val="auto"/>
                <w:szCs w:val="21"/>
                <w:highlight w:val="none"/>
              </w:rPr>
            </w:pPr>
          </w:p>
          <w:p>
            <w:pPr>
              <w:adjustRightInd w:val="0"/>
              <w:snapToGrid w:val="0"/>
              <w:rPr>
                <w:rFonts w:hint="eastAsia" w:ascii="宋体" w:hAnsi="宋体" w:cs="Times New Roman"/>
                <w:color w:val="auto"/>
                <w:szCs w:val="21"/>
                <w:highlight w:val="none"/>
              </w:rPr>
            </w:pPr>
          </w:p>
          <w:p>
            <w:pPr>
              <w:adjustRightInd w:val="0"/>
              <w:snapToGrid w:val="0"/>
              <w:rPr>
                <w:rFonts w:hint="eastAsia" w:ascii="宋体" w:hAnsi="宋体" w:cs="Times New Roman"/>
                <w:color w:val="auto"/>
                <w:szCs w:val="21"/>
                <w:highlight w:val="none"/>
              </w:rPr>
            </w:pPr>
          </w:p>
          <w:p>
            <w:pPr>
              <w:adjustRightInd w:val="0"/>
              <w:snapToGrid w:val="0"/>
              <w:rPr>
                <w:rFonts w:hint="eastAsia" w:ascii="宋体" w:hAnsi="宋体" w:eastAsia="宋体" w:cs="Times New Roman"/>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3687" w:type="dxa"/>
            <w:noWrap w:val="0"/>
            <w:vAlign w:val="top"/>
          </w:tcPr>
          <w:p>
            <w:pPr>
              <w:spacing w:line="360" w:lineRule="auto"/>
              <w:rPr>
                <w:rFonts w:hint="eastAsia" w:ascii="宋体" w:hAnsi="宋体" w:eastAsia="宋体"/>
                <w:szCs w:val="22"/>
                <w:lang w:val="en-US" w:eastAsia="zh-CN"/>
              </w:rPr>
            </w:pPr>
            <w:r>
              <w:rPr>
                <w:rFonts w:hint="eastAsia" w:ascii="宋体" w:hAnsi="宋体" w:eastAsia="宋体"/>
                <w:szCs w:val="22"/>
                <w:lang w:val="en-US" w:eastAsia="zh-CN"/>
              </w:rPr>
              <w:t>生产工艺</w:t>
            </w:r>
          </w:p>
          <w:p>
            <w:pPr>
              <w:spacing w:line="360" w:lineRule="auto"/>
              <w:rPr>
                <w:rFonts w:hint="eastAsia" w:ascii="宋体" w:hAnsi="宋体" w:eastAsia="宋体"/>
                <w:szCs w:val="22"/>
                <w:lang w:val="en-US" w:eastAsia="zh-CN"/>
              </w:rPr>
            </w:pPr>
          </w:p>
          <w:p>
            <w:pPr>
              <w:spacing w:line="360" w:lineRule="auto"/>
              <w:rPr>
                <w:rFonts w:hint="eastAsia" w:ascii="宋体" w:hAnsi="宋体" w:eastAsia="宋体"/>
                <w:szCs w:val="22"/>
                <w:lang w:val="en-US" w:eastAsia="zh-CN"/>
              </w:rPr>
            </w:pPr>
          </w:p>
          <w:p>
            <w:pPr>
              <w:spacing w:line="360" w:lineRule="auto"/>
              <w:rPr>
                <w:rFonts w:hint="eastAsia" w:ascii="宋体" w:hAnsi="宋体" w:eastAsia="宋体"/>
                <w:szCs w:val="22"/>
                <w:lang w:val="en-US" w:eastAsia="zh-CN"/>
              </w:rPr>
            </w:pPr>
          </w:p>
          <w:p>
            <w:pPr>
              <w:spacing w:line="360" w:lineRule="auto"/>
              <w:rPr>
                <w:rFonts w:hint="eastAsia" w:ascii="宋体" w:hAnsi="宋体" w:eastAsia="宋体"/>
                <w:szCs w:val="22"/>
                <w:lang w:val="en-US" w:eastAsia="zh-CN"/>
              </w:rPr>
            </w:pPr>
            <w:r>
              <w:rPr>
                <w:rFonts w:hint="eastAsia" w:ascii="宋体" w:hAnsi="宋体" w:eastAsia="宋体"/>
                <w:szCs w:val="22"/>
                <w:lang w:val="en-US" w:eastAsia="zh-CN"/>
              </w:rPr>
              <w:t>不适用条款的确认</w:t>
            </w:r>
          </w:p>
          <w:p>
            <w:pPr>
              <w:spacing w:line="360" w:lineRule="auto"/>
              <w:rPr>
                <w:rFonts w:hint="eastAsia" w:ascii="宋体" w:hAnsi="宋体" w:eastAsia="宋体"/>
                <w:szCs w:val="22"/>
                <w:lang w:val="en-US" w:eastAsia="zh-CN"/>
              </w:rPr>
            </w:pPr>
          </w:p>
          <w:p>
            <w:pPr>
              <w:spacing w:line="360" w:lineRule="auto"/>
              <w:rPr>
                <w:rFonts w:hint="eastAsia" w:ascii="宋体" w:hAnsi="宋体" w:eastAsia="宋体"/>
                <w:szCs w:val="22"/>
                <w:lang w:val="en-US" w:eastAsia="zh-CN"/>
              </w:rPr>
            </w:pPr>
            <w:r>
              <w:rPr>
                <w:rFonts w:hint="eastAsia" w:ascii="宋体" w:hAnsi="宋体" w:eastAsia="宋体"/>
                <w:szCs w:val="22"/>
                <w:lang w:val="en-US" w:eastAsia="zh-CN"/>
              </w:rPr>
              <w:t>外包的识别</w:t>
            </w:r>
          </w:p>
          <w:p>
            <w:pPr>
              <w:spacing w:line="360" w:lineRule="auto"/>
              <w:rPr>
                <w:rFonts w:hint="eastAsia" w:ascii="宋体" w:hAnsi="宋体" w:eastAsia="宋体"/>
                <w:szCs w:val="22"/>
                <w:lang w:val="en-US" w:eastAsia="zh-CN"/>
              </w:rPr>
            </w:pPr>
            <w:r>
              <w:rPr>
                <w:rFonts w:hint="eastAsia"/>
                <w:sz w:val="21"/>
                <w:szCs w:val="21"/>
                <w:lang w:val="en-US" w:eastAsia="zh-CN"/>
              </w:rPr>
              <w:t>质量</w:t>
            </w:r>
            <w:r>
              <w:rPr>
                <w:rFonts w:hint="eastAsia"/>
                <w:sz w:val="21"/>
                <w:szCs w:val="21"/>
              </w:rPr>
              <w:t>方针</w:t>
            </w:r>
          </w:p>
          <w:p>
            <w:pPr>
              <w:spacing w:line="360" w:lineRule="auto"/>
              <w:rPr>
                <w:rFonts w:hint="eastAsia" w:ascii="宋体" w:hAnsi="宋体" w:eastAsia="宋体"/>
                <w:szCs w:val="22"/>
                <w:lang w:val="en-US" w:eastAsia="zh-CN"/>
              </w:rPr>
            </w:pPr>
            <w:r>
              <w:rPr>
                <w:rFonts w:hint="eastAsia" w:ascii="宋体" w:hAnsi="宋体" w:eastAsia="宋体"/>
                <w:szCs w:val="22"/>
                <w:lang w:val="en-US" w:eastAsia="zh-CN"/>
              </w:rPr>
              <w:t>质量目标（QMS）</w:t>
            </w:r>
          </w:p>
        </w:tc>
        <w:tc>
          <w:tcPr>
            <w:tcW w:w="9261" w:type="dxa"/>
            <w:noWrap w:val="0"/>
            <w:vAlign w:val="top"/>
          </w:tcPr>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PCBA的加工</w:t>
            </w:r>
            <w:r>
              <w:rPr>
                <w:rFonts w:hint="eastAsia" w:ascii="宋体" w:hAnsi="宋体" w:eastAsia="宋体" w:cs="宋体"/>
                <w:color w:val="auto"/>
                <w:sz w:val="21"/>
                <w:szCs w:val="21"/>
                <w:highlight w:val="none"/>
                <w:lang w:val="en-US" w:eastAsia="zh-CN"/>
              </w:rPr>
              <w:t>流程：</w:t>
            </w:r>
          </w:p>
          <w:p>
            <w:pPr>
              <w:pStyle w:val="2"/>
              <w:rPr>
                <w:rFonts w:hint="default"/>
                <w:lang w:val="en-US" w:eastAsia="zh-CN"/>
              </w:rPr>
            </w:pPr>
            <w:r>
              <w:rPr>
                <w:rFonts w:hint="eastAsia"/>
                <w:lang w:val="en-US" w:eastAsia="zh-CN"/>
              </w:rPr>
              <w:t>来料检验——印刷——贴装——回流焊接——检验——入库。</w:t>
            </w:r>
          </w:p>
          <w:p>
            <w:pPr>
              <w:spacing w:line="360" w:lineRule="auto"/>
              <w:rPr>
                <w:rFonts w:hint="eastAsia" w:ascii="宋体" w:hAnsi="宋体" w:eastAsia="宋体"/>
                <w:color w:val="auto"/>
                <w:szCs w:val="22"/>
                <w:highlight w:val="none"/>
                <w:lang w:val="en-US" w:eastAsia="zh-CN"/>
              </w:rPr>
            </w:pPr>
            <w:r>
              <w:rPr>
                <w:rFonts w:hint="eastAsia" w:ascii="宋体" w:hAnsi="宋体"/>
                <w:color w:val="auto"/>
                <w:szCs w:val="22"/>
                <w:highlight w:val="none"/>
                <w:lang w:val="en-US" w:eastAsia="zh-CN"/>
              </w:rPr>
              <w:t>关键/确认过程：焊接</w:t>
            </w:r>
            <w:bookmarkStart w:id="0" w:name="_GoBack"/>
            <w:bookmarkEnd w:id="0"/>
            <w:r>
              <w:rPr>
                <w:rFonts w:hint="eastAsia" w:ascii="宋体" w:hAnsi="宋体"/>
                <w:color w:val="auto"/>
                <w:szCs w:val="22"/>
                <w:highlight w:val="none"/>
                <w:lang w:val="en-US" w:eastAsia="zh-CN"/>
              </w:rPr>
              <w:t>过程，也是特殊过程</w:t>
            </w:r>
            <w:r>
              <w:rPr>
                <w:rFonts w:hint="eastAsia" w:ascii="宋体" w:hAnsi="宋体" w:eastAsia="宋体"/>
                <w:color w:val="auto"/>
                <w:szCs w:val="22"/>
                <w:highlight w:val="none"/>
                <w:lang w:val="en-US" w:eastAsia="zh-CN"/>
              </w:rPr>
              <w:t>。</w:t>
            </w:r>
          </w:p>
          <w:p>
            <w:pPr>
              <w:spacing w:line="360" w:lineRule="auto"/>
              <w:rPr>
                <w:rFonts w:hint="eastAsia" w:ascii="宋体" w:hAnsi="宋体" w:eastAsia="宋体"/>
                <w:szCs w:val="22"/>
                <w:lang w:val="en-US" w:eastAsia="zh-CN"/>
              </w:rPr>
            </w:pPr>
          </w:p>
          <w:p>
            <w:pPr>
              <w:spacing w:line="360" w:lineRule="auto"/>
              <w:rPr>
                <w:rFonts w:hint="eastAsia" w:ascii="宋体" w:hAnsi="宋体"/>
                <w:sz w:val="21"/>
                <w:szCs w:val="21"/>
                <w:lang w:eastAsia="zh-CN"/>
              </w:rPr>
            </w:pPr>
            <w:r>
              <w:rPr>
                <w:rFonts w:hint="eastAsia" w:ascii="宋体" w:hAnsi="宋体" w:eastAsia="宋体"/>
                <w:szCs w:val="22"/>
                <w:lang w:val="en-US" w:eastAsia="zh-CN"/>
              </w:rPr>
              <w:t>8.3条款</w:t>
            </w:r>
            <w:r>
              <w:rPr>
                <w:rFonts w:hint="eastAsia" w:ascii="宋体" w:hAnsi="宋体"/>
                <w:szCs w:val="22"/>
                <w:lang w:val="en-US" w:eastAsia="zh-CN"/>
              </w:rPr>
              <w:t>，理由：公司PCBA的加工依据国家相关标准及客户要求进行加工,因此标准8.3条款“产品和服务的设计和开发”要求不适用</w:t>
            </w:r>
            <w:r>
              <w:rPr>
                <w:rFonts w:hint="eastAsia" w:ascii="宋体" w:hAnsi="宋体"/>
                <w:sz w:val="21"/>
                <w:szCs w:val="21"/>
                <w:highlight w:val="none"/>
              </w:rPr>
              <w:t>。</w:t>
            </w:r>
          </w:p>
          <w:p>
            <w:pPr>
              <w:spacing w:line="360" w:lineRule="auto"/>
              <w:rPr>
                <w:rFonts w:hint="eastAsia" w:ascii="宋体" w:hAnsi="宋体" w:eastAsia="宋体"/>
                <w:color w:val="auto"/>
                <w:szCs w:val="22"/>
                <w:highlight w:val="none"/>
                <w:lang w:val="en-US" w:eastAsia="zh-CN"/>
              </w:rPr>
            </w:pPr>
            <w:r>
              <w:rPr>
                <w:rFonts w:hint="eastAsia" w:ascii="宋体" w:hAnsi="宋体" w:eastAsia="宋体"/>
                <w:color w:val="auto"/>
                <w:szCs w:val="22"/>
                <w:highlight w:val="none"/>
                <w:lang w:val="en-US" w:eastAsia="zh-CN"/>
              </w:rPr>
              <w:t>无</w:t>
            </w:r>
          </w:p>
          <w:p>
            <w:pPr>
              <w:spacing w:line="400" w:lineRule="exact"/>
              <w:jc w:val="both"/>
              <w:rPr>
                <w:rFonts w:hint="eastAsia" w:ascii="宋体" w:hAnsi="宋体" w:eastAsia="宋体"/>
                <w:b/>
                <w:color w:val="000000"/>
                <w:sz w:val="21"/>
                <w:szCs w:val="21"/>
                <w:lang w:eastAsia="zh-CN"/>
              </w:rPr>
            </w:pPr>
            <w:r>
              <w:rPr>
                <w:rFonts w:hint="eastAsia" w:cs="Times New Roman"/>
                <w:sz w:val="21"/>
                <w:szCs w:val="21"/>
                <w:lang w:val="en-US" w:eastAsia="zh-CN"/>
              </w:rPr>
              <w:t>“</w:t>
            </w:r>
            <w:r>
              <w:rPr>
                <w:rFonts w:hint="eastAsia" w:ascii="宋体" w:hAnsi="宋体"/>
                <w:b/>
                <w:color w:val="000000"/>
                <w:sz w:val="21"/>
                <w:szCs w:val="21"/>
              </w:rPr>
              <w:t>质量第一、降本增效、精益求精、持续改进</w:t>
            </w:r>
            <w:r>
              <w:rPr>
                <w:rFonts w:hint="eastAsia" w:ascii="宋体" w:hAnsi="宋体"/>
                <w:b/>
                <w:color w:val="000000"/>
                <w:sz w:val="21"/>
                <w:szCs w:val="21"/>
                <w:lang w:eastAsia="zh-CN"/>
              </w:rPr>
              <w:t>”。</w:t>
            </w:r>
          </w:p>
          <w:p>
            <w:pPr>
              <w:pStyle w:val="8"/>
              <w:spacing w:before="0" w:beforeAutospacing="0" w:after="0" w:afterAutospacing="0" w:line="500" w:lineRule="exact"/>
              <w:rPr>
                <w:rFonts w:hint="eastAsia" w:asciiTheme="minorEastAsia" w:hAnsiTheme="minorEastAsia" w:eastAsiaTheme="minorEastAsia" w:cstheme="minorEastAsia"/>
                <w:b w:val="0"/>
                <w:bCs/>
                <w:spacing w:val="20"/>
                <w:sz w:val="21"/>
                <w:szCs w:val="21"/>
                <w:lang w:eastAsia="zh-CN"/>
              </w:rPr>
            </w:pPr>
            <w:r>
              <w:rPr>
                <w:rFonts w:hint="eastAsia" w:asciiTheme="minorEastAsia" w:hAnsiTheme="minorEastAsia" w:eastAsiaTheme="minorEastAsia" w:cstheme="minorEastAsia"/>
                <w:b w:val="0"/>
                <w:bCs/>
                <w:spacing w:val="20"/>
                <w:sz w:val="21"/>
                <w:szCs w:val="21"/>
                <w:lang w:val="en-US" w:eastAsia="zh-CN"/>
              </w:rPr>
              <w:t>1、</w:t>
            </w:r>
            <w:r>
              <w:rPr>
                <w:rFonts w:hint="eastAsia" w:asciiTheme="minorEastAsia" w:hAnsiTheme="minorEastAsia" w:eastAsiaTheme="minorEastAsia" w:cstheme="minorEastAsia"/>
                <w:b w:val="0"/>
                <w:bCs/>
                <w:spacing w:val="20"/>
                <w:sz w:val="21"/>
                <w:szCs w:val="21"/>
                <w:lang w:eastAsia="zh-CN"/>
              </w:rPr>
              <w:t>成品一次交验合格率</w:t>
            </w:r>
            <w:r>
              <w:rPr>
                <w:rFonts w:hint="eastAsia" w:asciiTheme="minorEastAsia" w:hAnsiTheme="minorEastAsia" w:eastAsiaTheme="minorEastAsia" w:cstheme="minorEastAsia"/>
                <w:b w:val="0"/>
                <w:bCs/>
                <w:spacing w:val="20"/>
                <w:sz w:val="21"/>
                <w:szCs w:val="21"/>
              </w:rPr>
              <w:t>≥95%</w:t>
            </w:r>
            <w:r>
              <w:rPr>
                <w:rFonts w:hint="eastAsia" w:asciiTheme="minorEastAsia" w:hAnsiTheme="minorEastAsia" w:eastAsiaTheme="minorEastAsia" w:cstheme="minorEastAsia"/>
                <w:b w:val="0"/>
                <w:bCs/>
                <w:spacing w:val="20"/>
                <w:sz w:val="21"/>
                <w:szCs w:val="21"/>
                <w:lang w:eastAsia="zh-CN"/>
              </w:rPr>
              <w:t>；</w:t>
            </w:r>
          </w:p>
          <w:p>
            <w:pPr>
              <w:pStyle w:val="8"/>
              <w:spacing w:before="0" w:beforeAutospacing="0" w:after="0" w:afterAutospacing="0" w:line="500" w:lineRule="exact"/>
              <w:ind w:firstLine="500" w:firstLineChars="200"/>
              <w:rPr>
                <w:rFonts w:hint="eastAsia" w:asciiTheme="minorEastAsia" w:hAnsiTheme="minorEastAsia" w:eastAsiaTheme="minorEastAsia" w:cstheme="minorEastAsia"/>
                <w:b w:val="0"/>
                <w:bCs/>
                <w:spacing w:val="20"/>
                <w:sz w:val="21"/>
                <w:szCs w:val="21"/>
                <w:lang w:eastAsia="zh-CN"/>
              </w:rPr>
            </w:pPr>
            <w:r>
              <w:rPr>
                <w:rFonts w:hint="eastAsia" w:asciiTheme="minorEastAsia" w:hAnsiTheme="minorEastAsia" w:eastAsiaTheme="minorEastAsia" w:cstheme="minorEastAsia"/>
                <w:b w:val="0"/>
                <w:bCs/>
                <w:spacing w:val="20"/>
                <w:sz w:val="21"/>
                <w:szCs w:val="21"/>
                <w:lang w:val="en-US" w:eastAsia="zh-CN"/>
              </w:rPr>
              <w:t>2、合同履行率100%</w:t>
            </w:r>
            <w:r>
              <w:rPr>
                <w:rFonts w:hint="eastAsia" w:asciiTheme="minorEastAsia" w:hAnsiTheme="minorEastAsia" w:eastAsiaTheme="minorEastAsia" w:cstheme="minorEastAsia"/>
                <w:b w:val="0"/>
                <w:bCs/>
                <w:spacing w:val="20"/>
                <w:sz w:val="21"/>
                <w:szCs w:val="21"/>
                <w:lang w:eastAsia="zh-CN"/>
              </w:rPr>
              <w:t>；</w:t>
            </w:r>
          </w:p>
          <w:p>
            <w:pPr>
              <w:pStyle w:val="8"/>
              <w:spacing w:before="0" w:beforeAutospacing="0" w:after="0" w:afterAutospacing="0" w:line="500" w:lineRule="exact"/>
              <w:ind w:firstLine="500" w:firstLineChars="200"/>
              <w:rPr>
                <w:rFonts w:hint="eastAsia" w:asciiTheme="minorEastAsia" w:hAnsiTheme="minorEastAsia" w:eastAsiaTheme="minorEastAsia" w:cstheme="minorEastAsia"/>
                <w:b w:val="0"/>
                <w:bCs/>
                <w:spacing w:val="20"/>
                <w:sz w:val="21"/>
                <w:szCs w:val="21"/>
                <w:lang w:eastAsia="zh-CN"/>
              </w:rPr>
            </w:pPr>
            <w:r>
              <w:rPr>
                <w:rFonts w:hint="eastAsia" w:asciiTheme="minorEastAsia" w:hAnsiTheme="minorEastAsia" w:eastAsiaTheme="minorEastAsia" w:cstheme="minorEastAsia"/>
                <w:b w:val="0"/>
                <w:bCs/>
                <w:spacing w:val="20"/>
                <w:sz w:val="21"/>
                <w:szCs w:val="21"/>
                <w:lang w:val="en-US" w:eastAsia="zh-CN"/>
              </w:rPr>
              <w:t>3、</w:t>
            </w:r>
            <w:r>
              <w:rPr>
                <w:rFonts w:hint="eastAsia" w:asciiTheme="minorEastAsia" w:hAnsiTheme="minorEastAsia" w:eastAsiaTheme="minorEastAsia" w:cstheme="minorEastAsia"/>
                <w:b w:val="0"/>
                <w:bCs/>
                <w:spacing w:val="20"/>
                <w:sz w:val="21"/>
                <w:szCs w:val="21"/>
                <w:lang w:eastAsia="zh-CN"/>
              </w:rPr>
              <w:t>顾客满意率</w:t>
            </w:r>
            <w:r>
              <w:rPr>
                <w:rFonts w:hint="eastAsia" w:asciiTheme="minorEastAsia" w:hAnsiTheme="minorEastAsia" w:eastAsiaTheme="minorEastAsia" w:cstheme="minorEastAsia"/>
                <w:b w:val="0"/>
                <w:bCs/>
                <w:spacing w:val="20"/>
                <w:sz w:val="21"/>
                <w:szCs w:val="21"/>
              </w:rPr>
              <w:t>≥95%</w:t>
            </w:r>
            <w:r>
              <w:rPr>
                <w:rFonts w:hint="eastAsia" w:asciiTheme="minorEastAsia" w:hAnsiTheme="minorEastAsia" w:eastAsiaTheme="minorEastAsia" w:cstheme="minorEastAsia"/>
                <w:b w:val="0"/>
                <w:bCs/>
                <w:spacing w:val="20"/>
                <w:sz w:val="21"/>
                <w:szCs w:val="21"/>
                <w:lang w:eastAsia="zh-CN"/>
              </w:rPr>
              <w:t>。</w:t>
            </w:r>
          </w:p>
          <w:p>
            <w:pPr>
              <w:spacing w:line="360" w:lineRule="auto"/>
              <w:rPr>
                <w:rFonts w:hint="eastAsia" w:ascii="宋体" w:hAnsi="宋体" w:eastAsia="宋体"/>
                <w:szCs w:val="22"/>
                <w:lang w:val="en-US" w:eastAsia="zh-CN"/>
              </w:rPr>
            </w:pPr>
          </w:p>
        </w:tc>
        <w:tc>
          <w:tcPr>
            <w:tcW w:w="1741" w:type="dxa"/>
            <w:noWrap w:val="0"/>
            <w:vAlign w:val="top"/>
          </w:tcPr>
          <w:p>
            <w:pPr>
              <w:adjustRightInd w:val="0"/>
              <w:snapToGrid w:val="0"/>
              <w:rPr>
                <w:rFonts w:hint="eastAsia" w:ascii="宋体" w:hAnsi="宋体" w:cs="Times New Roman"/>
                <w:color w:val="auto"/>
                <w:szCs w:val="21"/>
                <w:highlight w:val="none"/>
              </w:rPr>
            </w:pPr>
            <w:r>
              <w:rPr>
                <w:rFonts w:hint="eastAsia" w:ascii="宋体" w:hAnsi="宋体" w:cs="Times New Roman"/>
                <w:color w:val="auto"/>
                <w:szCs w:val="21"/>
                <w:highlight w:val="none"/>
              </w:rPr>
              <w:t>Q:5.1;6.2</w:t>
            </w:r>
          </w:p>
          <w:p>
            <w:pPr>
              <w:adjustRightInd w:val="0"/>
              <w:snapToGrid w:val="0"/>
              <w:rPr>
                <w:rFonts w:hint="eastAsia" w:ascii="宋体" w:hAnsi="宋体" w:eastAsia="宋体" w:cs="Times New Roman"/>
                <w:color w:val="auto"/>
                <w:kern w:val="2"/>
                <w:sz w:val="21"/>
                <w:szCs w:val="21"/>
                <w:highlight w:val="none"/>
                <w:lang w:val="en-US" w:eastAsia="zh-CN" w:bidi="ar-SA"/>
              </w:rPr>
            </w:pPr>
          </w:p>
        </w:tc>
        <w:tc>
          <w:tcPr>
            <w:tcW w:w="614" w:type="dxa"/>
            <w:noWrap w:val="0"/>
            <w:vAlign w:val="top"/>
          </w:tcPr>
          <w:p>
            <w:pPr>
              <w:adjustRightInd w:val="0"/>
              <w:snapToGrid w:val="0"/>
              <w:rPr>
                <w:rFonts w:hint="eastAsia" w:ascii="宋体" w:hAnsi="宋体" w:cs="Times New Roman"/>
                <w:color w:val="auto"/>
                <w:szCs w:val="21"/>
                <w:highlight w:val="none"/>
              </w:rPr>
            </w:pPr>
            <w:r>
              <w:rPr>
                <w:rFonts w:hint="eastAsia" w:ascii="宋体" w:hAnsi="宋体" w:cs="Times New Roman"/>
                <w:color w:val="auto"/>
                <w:szCs w:val="21"/>
                <w:highlight w:val="none"/>
              </w:rPr>
              <w:t>符合</w:t>
            </w:r>
          </w:p>
          <w:p>
            <w:pPr>
              <w:adjustRightInd w:val="0"/>
              <w:snapToGrid w:val="0"/>
              <w:rPr>
                <w:rFonts w:hint="eastAsia" w:ascii="宋体" w:hAnsi="宋体" w:eastAsia="宋体" w:cs="Times New Roman"/>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3687" w:type="dxa"/>
            <w:noWrap w:val="0"/>
            <w:vAlign w:val="top"/>
          </w:tcPr>
          <w:p>
            <w:pPr>
              <w:spacing w:line="400" w:lineRule="exact"/>
              <w:rPr>
                <w:rFonts w:hint="eastAsia"/>
                <w:sz w:val="21"/>
                <w:szCs w:val="21"/>
              </w:rPr>
            </w:pPr>
            <w:r>
              <w:rPr>
                <w:rFonts w:hint="eastAsia"/>
                <w:sz w:val="21"/>
                <w:szCs w:val="21"/>
              </w:rPr>
              <w:t>设计开发产品或项目名称</w:t>
            </w:r>
          </w:p>
          <w:p>
            <w:pPr>
              <w:spacing w:line="400" w:lineRule="exact"/>
              <w:rPr>
                <w:rFonts w:hint="eastAsia"/>
                <w:sz w:val="21"/>
                <w:szCs w:val="21"/>
              </w:rPr>
            </w:pPr>
            <w:r>
              <w:rPr>
                <w:rFonts w:hint="eastAsia"/>
                <w:sz w:val="21"/>
                <w:szCs w:val="21"/>
              </w:rPr>
              <w:t>主要原材料</w:t>
            </w:r>
          </w:p>
        </w:tc>
        <w:tc>
          <w:tcPr>
            <w:tcW w:w="9261" w:type="dxa"/>
            <w:noWrap w:val="0"/>
            <w:vAlign w:val="top"/>
          </w:tcPr>
          <w:p>
            <w:pPr>
              <w:rPr>
                <w:rFonts w:hint="eastAsia" w:ascii="宋体" w:hAnsi="宋体"/>
                <w:sz w:val="21"/>
                <w:szCs w:val="21"/>
                <w:lang w:val="en-US" w:eastAsia="zh-CN"/>
              </w:rPr>
            </w:pPr>
            <w:r>
              <w:rPr>
                <w:rFonts w:hint="eastAsia" w:ascii="宋体" w:hAnsi="宋体"/>
                <w:sz w:val="21"/>
                <w:szCs w:val="21"/>
                <w:lang w:val="en-US" w:eastAsia="zh-CN"/>
              </w:rPr>
              <w:t>无</w:t>
            </w:r>
          </w:p>
          <w:p>
            <w:pPr>
              <w:rPr>
                <w:rFonts w:hint="eastAsia" w:ascii="宋体" w:hAnsi="宋体"/>
                <w:sz w:val="21"/>
                <w:szCs w:val="21"/>
                <w:lang w:val="en-US" w:eastAsia="zh-CN"/>
              </w:rPr>
            </w:pPr>
          </w:p>
          <w:p>
            <w:pPr>
              <w:rPr>
                <w:rFonts w:hint="eastAsia" w:eastAsia="宋体"/>
                <w:color w:val="FF0000"/>
                <w:sz w:val="21"/>
                <w:szCs w:val="21"/>
                <w:lang w:eastAsia="zh-CN"/>
              </w:rPr>
            </w:pPr>
            <w:r>
              <w:rPr>
                <w:rFonts w:hint="eastAsia"/>
                <w:color w:val="000000"/>
                <w:sz w:val="21"/>
                <w:szCs w:val="21"/>
                <w:highlight w:val="none"/>
                <w:lang w:eastAsia="zh-CN"/>
              </w:rPr>
              <w:t>钢网、无铅锡膏、纸质印刷品</w:t>
            </w:r>
            <w:r>
              <w:rPr>
                <w:rFonts w:hint="eastAsia"/>
                <w:color w:val="auto"/>
                <w:sz w:val="21"/>
                <w:szCs w:val="21"/>
                <w:highlight w:val="none"/>
                <w:lang w:eastAsia="zh-CN"/>
              </w:rPr>
              <w:t>等</w:t>
            </w:r>
          </w:p>
        </w:tc>
        <w:tc>
          <w:tcPr>
            <w:tcW w:w="1741" w:type="dxa"/>
            <w:noWrap w:val="0"/>
            <w:vAlign w:val="top"/>
          </w:tcPr>
          <w:p>
            <w:pPr>
              <w:adjustRightInd w:val="0"/>
              <w:snapToGrid w:val="0"/>
              <w:rPr>
                <w:rFonts w:hint="eastAsia" w:ascii="宋体" w:hAnsi="宋体" w:eastAsia="宋体" w:cs="Times New Roman"/>
                <w:color w:val="auto"/>
                <w:kern w:val="2"/>
                <w:sz w:val="21"/>
                <w:szCs w:val="21"/>
                <w:highlight w:val="none"/>
                <w:lang w:val="en-US" w:eastAsia="zh-CN" w:bidi="ar-SA"/>
              </w:rPr>
            </w:pPr>
            <w:r>
              <w:rPr>
                <w:rFonts w:hint="eastAsia" w:ascii="宋体" w:hAnsi="宋体" w:cs="Times New Roman"/>
                <w:color w:val="auto"/>
                <w:szCs w:val="21"/>
                <w:highlight w:val="none"/>
              </w:rPr>
              <w:t>Q8.3</w:t>
            </w:r>
          </w:p>
        </w:tc>
        <w:tc>
          <w:tcPr>
            <w:tcW w:w="614" w:type="dxa"/>
            <w:noWrap w:val="0"/>
            <w:vAlign w:val="top"/>
          </w:tcPr>
          <w:p>
            <w:pPr>
              <w:adjustRightInd w:val="0"/>
              <w:snapToGrid w:val="0"/>
              <w:rPr>
                <w:rFonts w:hint="eastAsia" w:ascii="宋体" w:hAnsi="宋体" w:cs="Times New Roman"/>
                <w:color w:val="auto"/>
                <w:szCs w:val="21"/>
                <w:highlight w:val="none"/>
              </w:rPr>
            </w:pPr>
            <w:r>
              <w:rPr>
                <w:rFonts w:hint="eastAsia" w:ascii="宋体" w:hAnsi="宋体" w:cs="Times New Roman"/>
                <w:color w:val="auto"/>
                <w:szCs w:val="21"/>
                <w:highlight w:val="none"/>
              </w:rPr>
              <w:t>符合</w:t>
            </w:r>
          </w:p>
          <w:p>
            <w:pPr>
              <w:adjustRightInd w:val="0"/>
              <w:snapToGrid w:val="0"/>
              <w:rPr>
                <w:rFonts w:hint="eastAsia" w:ascii="宋体" w:hAnsi="宋体" w:eastAsia="宋体" w:cs="Times New Roman"/>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3687" w:type="dxa"/>
            <w:noWrap w:val="0"/>
            <w:vAlign w:val="top"/>
          </w:tcPr>
          <w:p>
            <w:pPr>
              <w:rPr>
                <w:rFonts w:hint="eastAsia" w:ascii="宋体" w:hAnsi="宋体"/>
                <w:sz w:val="21"/>
                <w:szCs w:val="21"/>
                <w:lang w:val="en-US" w:eastAsia="zh-CN"/>
              </w:rPr>
            </w:pPr>
            <w:r>
              <w:rPr>
                <w:rFonts w:hint="eastAsia" w:ascii="宋体" w:hAnsi="宋体"/>
                <w:sz w:val="21"/>
                <w:szCs w:val="21"/>
                <w:lang w:val="en-US" w:eastAsia="zh-CN"/>
              </w:rPr>
              <w:t>员工人数</w:t>
            </w:r>
          </w:p>
          <w:p>
            <w:pPr>
              <w:rPr>
                <w:rFonts w:hint="eastAsia" w:ascii="宋体" w:hAnsi="宋体"/>
                <w:sz w:val="21"/>
                <w:szCs w:val="21"/>
                <w:lang w:val="en-US" w:eastAsia="zh-CN"/>
              </w:rPr>
            </w:pPr>
            <w:r>
              <w:rPr>
                <w:rFonts w:hint="eastAsia" w:ascii="宋体" w:hAnsi="宋体"/>
                <w:sz w:val="21"/>
                <w:szCs w:val="21"/>
                <w:lang w:val="en-US" w:eastAsia="zh-CN"/>
              </w:rPr>
              <w:t>关键岗位人员</w:t>
            </w:r>
          </w:p>
          <w:p>
            <w:pPr>
              <w:rPr>
                <w:rFonts w:hint="eastAsia" w:ascii="宋体" w:hAnsi="宋体"/>
                <w:sz w:val="21"/>
                <w:szCs w:val="21"/>
                <w:lang w:val="en-US" w:eastAsia="zh-CN"/>
              </w:rPr>
            </w:pPr>
            <w:r>
              <w:rPr>
                <w:rFonts w:hint="eastAsia" w:ascii="宋体" w:hAnsi="宋体"/>
                <w:sz w:val="21"/>
                <w:szCs w:val="21"/>
                <w:lang w:val="en-US" w:eastAsia="zh-CN"/>
              </w:rPr>
              <w:t>特殊工种人员</w:t>
            </w:r>
          </w:p>
        </w:tc>
        <w:tc>
          <w:tcPr>
            <w:tcW w:w="9261" w:type="dxa"/>
            <w:noWrap w:val="0"/>
            <w:vAlign w:val="top"/>
          </w:tcPr>
          <w:p>
            <w:pPr>
              <w:rPr>
                <w:rFonts w:hint="eastAsia" w:ascii="宋体" w:hAnsi="宋体"/>
                <w:sz w:val="21"/>
                <w:szCs w:val="21"/>
                <w:lang w:val="en-US" w:eastAsia="zh-CN"/>
              </w:rPr>
            </w:pPr>
            <w:r>
              <w:rPr>
                <w:rFonts w:hint="eastAsia" w:ascii="宋体" w:hAnsi="宋体"/>
                <w:sz w:val="21"/>
                <w:szCs w:val="21"/>
                <w:lang w:val="en-US" w:eastAsia="zh-CN"/>
              </w:rPr>
              <w:t>15人</w:t>
            </w:r>
          </w:p>
          <w:p>
            <w:pPr>
              <w:rPr>
                <w:rFonts w:hint="eastAsia" w:ascii="宋体" w:hAnsi="宋体"/>
                <w:sz w:val="21"/>
                <w:szCs w:val="21"/>
                <w:lang w:val="en-US" w:eastAsia="zh-CN"/>
              </w:rPr>
            </w:pPr>
            <w:r>
              <w:rPr>
                <w:rFonts w:hint="eastAsia" w:ascii="宋体" w:hAnsi="宋体"/>
                <w:sz w:val="21"/>
                <w:szCs w:val="21"/>
                <w:lang w:val="en-US" w:eastAsia="zh-CN"/>
              </w:rPr>
              <w:t>无</w:t>
            </w:r>
          </w:p>
          <w:p>
            <w:pPr>
              <w:rPr>
                <w:rFonts w:hint="eastAsia" w:ascii="宋体" w:hAnsi="宋体"/>
                <w:sz w:val="21"/>
                <w:szCs w:val="21"/>
                <w:lang w:val="en-US" w:eastAsia="zh-CN"/>
              </w:rPr>
            </w:pPr>
            <w:r>
              <w:rPr>
                <w:rFonts w:hint="eastAsia" w:ascii="宋体" w:hAnsi="宋体"/>
                <w:color w:val="auto"/>
                <w:sz w:val="21"/>
                <w:szCs w:val="21"/>
                <w:lang w:val="en-US" w:eastAsia="zh-CN"/>
              </w:rPr>
              <w:t>无</w:t>
            </w:r>
          </w:p>
        </w:tc>
        <w:tc>
          <w:tcPr>
            <w:tcW w:w="1741" w:type="dxa"/>
            <w:noWrap w:val="0"/>
            <w:vAlign w:val="top"/>
          </w:tcPr>
          <w:p>
            <w:pPr>
              <w:adjustRightInd w:val="0"/>
              <w:snapToGrid w:val="0"/>
              <w:rPr>
                <w:rFonts w:hint="default" w:ascii="宋体" w:hAnsi="宋体" w:eastAsia="宋体" w:cs="Times New Roman"/>
                <w:color w:val="auto"/>
                <w:kern w:val="2"/>
                <w:sz w:val="21"/>
                <w:szCs w:val="21"/>
                <w:highlight w:val="none"/>
                <w:lang w:val="en-US" w:eastAsia="zh-CN" w:bidi="ar-SA"/>
              </w:rPr>
            </w:pPr>
            <w:r>
              <w:rPr>
                <w:rFonts w:hint="eastAsia" w:ascii="宋体" w:hAnsi="宋体" w:cs="Times New Roman"/>
                <w:color w:val="auto"/>
                <w:szCs w:val="21"/>
                <w:highlight w:val="none"/>
              </w:rPr>
              <w:t>Q</w:t>
            </w:r>
            <w:r>
              <w:rPr>
                <w:rFonts w:hint="eastAsia" w:ascii="宋体" w:hAnsi="宋体" w:cs="Times New Roman"/>
                <w:color w:val="auto"/>
                <w:szCs w:val="21"/>
                <w:highlight w:val="none"/>
                <w:lang w:val="en-US" w:eastAsia="zh-CN"/>
              </w:rPr>
              <w:t>7.2</w:t>
            </w:r>
          </w:p>
        </w:tc>
        <w:tc>
          <w:tcPr>
            <w:tcW w:w="614" w:type="dxa"/>
            <w:noWrap w:val="0"/>
            <w:vAlign w:val="top"/>
          </w:tcPr>
          <w:p>
            <w:pPr>
              <w:adjustRightInd w:val="0"/>
              <w:snapToGrid w:val="0"/>
              <w:rPr>
                <w:rFonts w:hint="eastAsia" w:ascii="宋体" w:hAnsi="宋体" w:cs="Times New Roman"/>
                <w:color w:val="auto"/>
                <w:szCs w:val="21"/>
                <w:highlight w:val="none"/>
              </w:rPr>
            </w:pPr>
            <w:r>
              <w:rPr>
                <w:rFonts w:hint="eastAsia" w:ascii="宋体" w:hAnsi="宋体" w:cs="Times New Roman"/>
                <w:color w:val="auto"/>
                <w:szCs w:val="21"/>
                <w:highlight w:val="none"/>
              </w:rPr>
              <w:t>符合</w:t>
            </w:r>
          </w:p>
          <w:p>
            <w:pPr>
              <w:adjustRightInd w:val="0"/>
              <w:snapToGrid w:val="0"/>
              <w:rPr>
                <w:rFonts w:hint="eastAsia" w:ascii="宋体" w:hAnsi="宋体" w:eastAsia="宋体" w:cs="Times New Roman"/>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3687" w:type="dxa"/>
            <w:noWrap w:val="0"/>
            <w:vAlign w:val="top"/>
          </w:tcPr>
          <w:p>
            <w:pPr>
              <w:spacing w:line="400" w:lineRule="exact"/>
              <w:rPr>
                <w:rFonts w:hint="eastAsia" w:ascii="宋体" w:hAnsi="宋体" w:cs="宋体"/>
                <w:sz w:val="21"/>
                <w:szCs w:val="21"/>
              </w:rPr>
            </w:pPr>
            <w:r>
              <w:rPr>
                <w:rFonts w:hint="eastAsia" w:ascii="宋体" w:hAnsi="宋体" w:cs="宋体"/>
                <w:sz w:val="21"/>
                <w:szCs w:val="21"/>
              </w:rPr>
              <w:t>主要生产设备</w:t>
            </w:r>
          </w:p>
          <w:p>
            <w:pPr>
              <w:spacing w:line="400" w:lineRule="exact"/>
              <w:rPr>
                <w:rFonts w:hint="eastAsia" w:ascii="宋体" w:hAnsi="宋体" w:cs="宋体"/>
                <w:sz w:val="21"/>
                <w:szCs w:val="21"/>
              </w:rPr>
            </w:pPr>
            <w:r>
              <w:rPr>
                <w:rFonts w:hint="eastAsia" w:ascii="宋体" w:hAnsi="宋体" w:cs="宋体"/>
                <w:sz w:val="21"/>
                <w:szCs w:val="21"/>
              </w:rPr>
              <w:t>特种设备</w:t>
            </w:r>
          </w:p>
          <w:p>
            <w:pPr>
              <w:spacing w:line="400" w:lineRule="exact"/>
              <w:rPr>
                <w:rFonts w:hint="eastAsia" w:ascii="宋体" w:hAnsi="宋体" w:cs="宋体"/>
                <w:sz w:val="21"/>
                <w:szCs w:val="21"/>
              </w:rPr>
            </w:pPr>
          </w:p>
          <w:p>
            <w:pPr>
              <w:spacing w:line="400" w:lineRule="exact"/>
              <w:rPr>
                <w:rFonts w:hint="eastAsia" w:ascii="宋体" w:hAnsi="宋体" w:cs="宋体"/>
                <w:sz w:val="21"/>
                <w:szCs w:val="21"/>
              </w:rPr>
            </w:pPr>
            <w:r>
              <w:rPr>
                <w:rFonts w:hint="eastAsia" w:ascii="宋体" w:hAnsi="宋体" w:cs="宋体"/>
                <w:sz w:val="21"/>
                <w:szCs w:val="21"/>
              </w:rPr>
              <w:t>主要检测设备及设备的检定/校准（QMS）</w:t>
            </w:r>
          </w:p>
        </w:tc>
        <w:tc>
          <w:tcPr>
            <w:tcW w:w="9261" w:type="dxa"/>
            <w:noWrap w:val="0"/>
            <w:vAlign w:val="top"/>
          </w:tcPr>
          <w:p>
            <w:pPr>
              <w:spacing w:line="400" w:lineRule="exact"/>
              <w:rPr>
                <w:rFonts w:hint="eastAsia" w:ascii="宋体" w:hAnsi="宋体"/>
                <w:color w:val="auto"/>
                <w:sz w:val="21"/>
                <w:szCs w:val="21"/>
                <w:lang w:val="en-US" w:eastAsia="zh-CN"/>
              </w:rPr>
            </w:pPr>
            <w:r>
              <w:rPr>
                <w:rFonts w:hint="eastAsia" w:ascii="宋体" w:hAnsi="宋体"/>
                <w:color w:val="auto"/>
                <w:szCs w:val="21"/>
                <w:lang w:val="en-US" w:eastAsia="zh-CN"/>
              </w:rPr>
              <w:t>电脑及办公设备、贴片机</w:t>
            </w:r>
            <w:r>
              <w:rPr>
                <w:rFonts w:hint="eastAsia" w:ascii="宋体" w:hAnsi="宋体"/>
                <w:color w:val="auto"/>
                <w:szCs w:val="21"/>
                <w:highlight w:val="none"/>
                <w:lang w:val="en-US" w:eastAsia="zh-CN"/>
              </w:rPr>
              <w:t>、接驳台、全自动收板机等</w:t>
            </w:r>
            <w:r>
              <w:rPr>
                <w:rFonts w:hint="eastAsia" w:ascii="宋体" w:hAnsi="宋体"/>
                <w:color w:val="auto"/>
                <w:sz w:val="21"/>
                <w:szCs w:val="21"/>
                <w:lang w:val="en-US" w:eastAsia="zh-CN"/>
              </w:rPr>
              <w:t>。可以满足</w:t>
            </w:r>
            <w:r>
              <w:rPr>
                <w:rFonts w:hint="eastAsia" w:ascii="宋体" w:hAnsi="宋体"/>
                <w:color w:val="auto"/>
                <w:szCs w:val="21"/>
                <w:lang w:eastAsia="zh-CN"/>
              </w:rPr>
              <w:t>PCBA的加工</w:t>
            </w:r>
            <w:r>
              <w:rPr>
                <w:rFonts w:hint="eastAsia" w:ascii="宋体" w:hAnsi="宋体"/>
                <w:color w:val="auto"/>
                <w:sz w:val="21"/>
                <w:szCs w:val="21"/>
                <w:lang w:val="en-US" w:eastAsia="zh-CN"/>
              </w:rPr>
              <w:t>需要。</w:t>
            </w:r>
          </w:p>
          <w:p>
            <w:pPr>
              <w:spacing w:line="400" w:lineRule="exact"/>
              <w:rPr>
                <w:rFonts w:hint="eastAsia" w:ascii="宋体" w:hAnsi="宋体"/>
                <w:color w:val="auto"/>
                <w:sz w:val="21"/>
                <w:szCs w:val="21"/>
                <w:lang w:val="en-US" w:eastAsia="zh-CN"/>
              </w:rPr>
            </w:pPr>
            <w:r>
              <w:rPr>
                <w:rFonts w:hint="eastAsia" w:ascii="宋体" w:hAnsi="宋体"/>
                <w:color w:val="auto"/>
                <w:sz w:val="21"/>
                <w:szCs w:val="21"/>
                <w:lang w:val="en-US" w:eastAsia="zh-CN"/>
              </w:rPr>
              <w:t>无</w:t>
            </w:r>
          </w:p>
          <w:p>
            <w:pPr>
              <w:spacing w:line="400" w:lineRule="exact"/>
              <w:rPr>
                <w:rFonts w:hint="eastAsia" w:ascii="宋体" w:hAnsi="宋体"/>
                <w:color w:val="auto"/>
                <w:szCs w:val="21"/>
                <w:highlight w:val="green"/>
              </w:rPr>
            </w:pPr>
          </w:p>
          <w:p>
            <w:pPr>
              <w:spacing w:line="400" w:lineRule="exact"/>
              <w:rPr>
                <w:rFonts w:hint="eastAsia" w:ascii="宋体" w:hAnsi="宋体" w:cs="宋体"/>
                <w:color w:val="FF0000"/>
                <w:sz w:val="21"/>
                <w:szCs w:val="21"/>
              </w:rPr>
            </w:pPr>
            <w:r>
              <w:rPr>
                <w:rFonts w:hint="eastAsia" w:ascii="宋体" w:hAnsi="宋体"/>
                <w:color w:val="auto"/>
                <w:szCs w:val="21"/>
                <w:lang w:val="en-US" w:eastAsia="zh-CN"/>
              </w:rPr>
              <w:t>AOI光学检测仪，有自校合格证</w:t>
            </w:r>
            <w:r>
              <w:rPr>
                <w:rFonts w:hint="eastAsia" w:ascii="宋体" w:hAnsi="宋体"/>
                <w:color w:val="auto"/>
                <w:szCs w:val="21"/>
                <w:lang w:eastAsia="zh-CN"/>
              </w:rPr>
              <w:t>。</w:t>
            </w:r>
          </w:p>
        </w:tc>
        <w:tc>
          <w:tcPr>
            <w:tcW w:w="1741" w:type="dxa"/>
            <w:noWrap w:val="0"/>
            <w:vAlign w:val="top"/>
          </w:tcPr>
          <w:p>
            <w:pPr>
              <w:adjustRightInd w:val="0"/>
              <w:snapToGrid w:val="0"/>
              <w:rPr>
                <w:rFonts w:hint="eastAsia" w:ascii="宋体" w:hAnsi="宋体" w:cs="Times New Roman"/>
                <w:color w:val="auto"/>
                <w:szCs w:val="21"/>
                <w:highlight w:val="none"/>
              </w:rPr>
            </w:pPr>
            <w:r>
              <w:rPr>
                <w:rFonts w:hint="eastAsia" w:ascii="宋体" w:hAnsi="宋体" w:cs="Times New Roman"/>
                <w:color w:val="auto"/>
                <w:szCs w:val="21"/>
                <w:highlight w:val="none"/>
              </w:rPr>
              <w:t>Q:7.1</w:t>
            </w:r>
          </w:p>
          <w:p>
            <w:pPr>
              <w:adjustRightInd w:val="0"/>
              <w:snapToGrid w:val="0"/>
              <w:rPr>
                <w:rFonts w:hint="eastAsia" w:ascii="宋体" w:hAnsi="宋体" w:cs="Times New Roman"/>
                <w:color w:val="auto"/>
                <w:szCs w:val="21"/>
                <w:highlight w:val="none"/>
              </w:rPr>
            </w:pPr>
          </w:p>
          <w:p>
            <w:pPr>
              <w:adjustRightInd w:val="0"/>
              <w:snapToGrid w:val="0"/>
              <w:rPr>
                <w:rFonts w:hint="eastAsia" w:ascii="宋体" w:hAnsi="宋体" w:cs="Times New Roman"/>
                <w:color w:val="auto"/>
                <w:szCs w:val="21"/>
                <w:highlight w:val="none"/>
              </w:rPr>
            </w:pPr>
          </w:p>
          <w:p>
            <w:pPr>
              <w:adjustRightInd w:val="0"/>
              <w:snapToGrid w:val="0"/>
              <w:rPr>
                <w:rFonts w:hint="eastAsia" w:ascii="宋体" w:hAnsi="宋体" w:cs="Times New Roman"/>
                <w:color w:val="auto"/>
                <w:szCs w:val="21"/>
                <w:highlight w:val="none"/>
              </w:rPr>
            </w:pPr>
          </w:p>
          <w:p>
            <w:pPr>
              <w:adjustRightInd w:val="0"/>
              <w:snapToGrid w:val="0"/>
              <w:rPr>
                <w:rFonts w:hint="eastAsia" w:ascii="宋体" w:hAnsi="宋体" w:cs="Times New Roman"/>
                <w:color w:val="auto"/>
                <w:szCs w:val="21"/>
                <w:highlight w:val="none"/>
              </w:rPr>
            </w:pPr>
          </w:p>
          <w:p>
            <w:pPr>
              <w:adjustRightInd w:val="0"/>
              <w:snapToGrid w:val="0"/>
              <w:rPr>
                <w:rFonts w:hint="eastAsia" w:ascii="宋体" w:hAnsi="宋体" w:cs="Times New Roman"/>
                <w:color w:val="auto"/>
                <w:szCs w:val="21"/>
                <w:highlight w:val="none"/>
              </w:rPr>
            </w:pPr>
          </w:p>
          <w:p>
            <w:pPr>
              <w:adjustRightInd w:val="0"/>
              <w:snapToGrid w:val="0"/>
              <w:rPr>
                <w:rFonts w:hint="default" w:ascii="宋体" w:hAnsi="宋体" w:eastAsia="宋体" w:cs="Times New Roman"/>
                <w:color w:val="auto"/>
                <w:kern w:val="2"/>
                <w:sz w:val="21"/>
                <w:szCs w:val="21"/>
                <w:highlight w:val="none"/>
                <w:lang w:val="en-US" w:eastAsia="zh-CN" w:bidi="ar-SA"/>
              </w:rPr>
            </w:pPr>
          </w:p>
        </w:tc>
        <w:tc>
          <w:tcPr>
            <w:tcW w:w="614" w:type="dxa"/>
            <w:noWrap w:val="0"/>
            <w:vAlign w:val="top"/>
          </w:tcPr>
          <w:p>
            <w:pPr>
              <w:adjustRightInd w:val="0"/>
              <w:snapToGrid w:val="0"/>
              <w:rPr>
                <w:rFonts w:hint="eastAsia" w:ascii="宋体" w:hAnsi="宋体" w:cs="Times New Roman"/>
                <w:color w:val="auto"/>
                <w:szCs w:val="21"/>
                <w:highlight w:val="none"/>
              </w:rPr>
            </w:pPr>
            <w:r>
              <w:rPr>
                <w:rFonts w:hint="eastAsia" w:ascii="宋体" w:hAnsi="宋体" w:cs="Times New Roman"/>
                <w:color w:val="auto"/>
                <w:szCs w:val="21"/>
                <w:highlight w:val="none"/>
              </w:rPr>
              <w:t>符合</w:t>
            </w:r>
          </w:p>
          <w:p>
            <w:pPr>
              <w:adjustRightInd w:val="0"/>
              <w:snapToGrid w:val="0"/>
              <w:rPr>
                <w:rFonts w:hint="eastAsia" w:ascii="宋体" w:hAnsi="宋体" w:cs="Times New Roman"/>
                <w:color w:val="auto"/>
                <w:szCs w:val="21"/>
                <w:highlight w:val="none"/>
              </w:rPr>
            </w:pPr>
          </w:p>
          <w:p>
            <w:pPr>
              <w:adjustRightInd w:val="0"/>
              <w:snapToGrid w:val="0"/>
              <w:rPr>
                <w:rFonts w:hint="eastAsia" w:ascii="宋体" w:hAnsi="宋体" w:cs="Times New Roman"/>
                <w:color w:val="auto"/>
                <w:szCs w:val="21"/>
                <w:highlight w:val="none"/>
              </w:rPr>
            </w:pPr>
          </w:p>
          <w:p>
            <w:pPr>
              <w:adjustRightInd w:val="0"/>
              <w:snapToGrid w:val="0"/>
              <w:rPr>
                <w:rFonts w:hint="eastAsia" w:ascii="宋体" w:hAnsi="宋体" w:cs="Times New Roman"/>
                <w:color w:val="auto"/>
                <w:szCs w:val="21"/>
                <w:highlight w:val="none"/>
              </w:rPr>
            </w:pPr>
          </w:p>
          <w:p>
            <w:pPr>
              <w:adjustRightInd w:val="0"/>
              <w:snapToGrid w:val="0"/>
              <w:rPr>
                <w:rFonts w:hint="eastAsia" w:ascii="宋体" w:hAnsi="宋体" w:cs="Times New Roman"/>
                <w:color w:val="auto"/>
                <w:szCs w:val="21"/>
                <w:highlight w:val="none"/>
              </w:rPr>
            </w:pPr>
          </w:p>
          <w:p>
            <w:pPr>
              <w:adjustRightInd w:val="0"/>
              <w:snapToGrid w:val="0"/>
              <w:rPr>
                <w:rFonts w:hint="eastAsia" w:ascii="宋体" w:hAnsi="宋体" w:eastAsia="宋体" w:cs="Times New Roman"/>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3687" w:type="dxa"/>
            <w:noWrap w:val="0"/>
            <w:vAlign w:val="top"/>
          </w:tcPr>
          <w:p>
            <w:pPr>
              <w:spacing w:line="400" w:lineRule="exact"/>
              <w:rPr>
                <w:rFonts w:hint="eastAsia"/>
                <w:sz w:val="21"/>
                <w:szCs w:val="21"/>
              </w:rPr>
            </w:pPr>
            <w:r>
              <w:rPr>
                <w:rFonts w:hint="eastAsia"/>
                <w:sz w:val="21"/>
                <w:szCs w:val="21"/>
              </w:rPr>
              <w:t>顾客及相关方投诉</w:t>
            </w:r>
          </w:p>
        </w:tc>
        <w:tc>
          <w:tcPr>
            <w:tcW w:w="9261" w:type="dxa"/>
            <w:noWrap w:val="0"/>
            <w:vAlign w:val="top"/>
          </w:tcPr>
          <w:p>
            <w:pPr>
              <w:spacing w:line="400" w:lineRule="exact"/>
              <w:rPr>
                <w:rFonts w:hint="eastAsia"/>
                <w:sz w:val="21"/>
                <w:szCs w:val="21"/>
              </w:rPr>
            </w:pPr>
            <w:r>
              <w:rPr>
                <w:rFonts w:hint="eastAsia"/>
                <w:sz w:val="21"/>
                <w:szCs w:val="21"/>
              </w:rPr>
              <w:t>暂无</w:t>
            </w:r>
          </w:p>
        </w:tc>
        <w:tc>
          <w:tcPr>
            <w:tcW w:w="1741" w:type="dxa"/>
            <w:noWrap w:val="0"/>
            <w:vAlign w:val="top"/>
          </w:tcPr>
          <w:p>
            <w:pPr>
              <w:spacing w:line="440" w:lineRule="exact"/>
              <w:jc w:val="center"/>
              <w:rPr>
                <w:rFonts w:ascii="宋体" w:hAnsi="宋体"/>
                <w:sz w:val="21"/>
                <w:szCs w:val="21"/>
              </w:rPr>
            </w:pPr>
          </w:p>
        </w:tc>
        <w:tc>
          <w:tcPr>
            <w:tcW w:w="614"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3687" w:type="dxa"/>
            <w:noWrap w:val="0"/>
            <w:vAlign w:val="top"/>
          </w:tcPr>
          <w:p>
            <w:pPr>
              <w:spacing w:line="400" w:lineRule="exact"/>
              <w:rPr>
                <w:rFonts w:hint="eastAsia"/>
                <w:sz w:val="21"/>
                <w:szCs w:val="21"/>
              </w:rPr>
            </w:pPr>
            <w:r>
              <w:rPr>
                <w:rFonts w:hint="eastAsia"/>
                <w:sz w:val="21"/>
                <w:szCs w:val="21"/>
              </w:rPr>
              <w:t>内部审核：</w:t>
            </w:r>
          </w:p>
          <w:p>
            <w:pPr>
              <w:spacing w:line="400" w:lineRule="exact"/>
              <w:rPr>
                <w:rFonts w:hint="eastAsia"/>
                <w:sz w:val="21"/>
                <w:szCs w:val="21"/>
              </w:rPr>
            </w:pPr>
            <w:r>
              <w:rPr>
                <w:rFonts w:hint="eastAsia"/>
                <w:sz w:val="21"/>
                <w:szCs w:val="21"/>
              </w:rPr>
              <w:t>时间</w:t>
            </w:r>
          </w:p>
          <w:p>
            <w:pPr>
              <w:spacing w:line="400" w:lineRule="exact"/>
              <w:rPr>
                <w:rFonts w:hint="eastAsia"/>
                <w:sz w:val="21"/>
                <w:szCs w:val="21"/>
              </w:rPr>
            </w:pPr>
          </w:p>
          <w:p>
            <w:pPr>
              <w:spacing w:line="400" w:lineRule="exact"/>
              <w:rPr>
                <w:rFonts w:hint="eastAsia"/>
                <w:sz w:val="21"/>
                <w:szCs w:val="21"/>
              </w:rPr>
            </w:pPr>
            <w:r>
              <w:rPr>
                <w:rFonts w:hint="eastAsia"/>
                <w:sz w:val="21"/>
                <w:szCs w:val="21"/>
              </w:rPr>
              <w:t>审核组</w:t>
            </w:r>
          </w:p>
          <w:p>
            <w:pPr>
              <w:spacing w:line="400" w:lineRule="exact"/>
              <w:rPr>
                <w:rFonts w:hint="eastAsia"/>
                <w:sz w:val="21"/>
                <w:szCs w:val="21"/>
              </w:rPr>
            </w:pPr>
          </w:p>
          <w:p>
            <w:pPr>
              <w:spacing w:line="400" w:lineRule="exact"/>
              <w:rPr>
                <w:rFonts w:hint="eastAsia"/>
                <w:sz w:val="21"/>
                <w:szCs w:val="21"/>
              </w:rPr>
            </w:pPr>
            <w:r>
              <w:rPr>
                <w:rFonts w:hint="eastAsia"/>
                <w:sz w:val="21"/>
                <w:szCs w:val="21"/>
              </w:rPr>
              <w:t>不符合及整改</w:t>
            </w:r>
          </w:p>
          <w:p>
            <w:pPr>
              <w:spacing w:line="400" w:lineRule="exact"/>
              <w:rPr>
                <w:rFonts w:hint="eastAsia"/>
                <w:sz w:val="21"/>
                <w:szCs w:val="21"/>
              </w:rPr>
            </w:pPr>
          </w:p>
        </w:tc>
        <w:tc>
          <w:tcPr>
            <w:tcW w:w="9261" w:type="dxa"/>
            <w:noWrap w:val="0"/>
            <w:vAlign w:val="top"/>
          </w:tcPr>
          <w:p>
            <w:pPr>
              <w:spacing w:line="400" w:lineRule="exact"/>
              <w:ind w:firstLine="210" w:firstLineChars="100"/>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t>建立有《内部质量体系审核程序》</w:t>
            </w:r>
          </w:p>
          <w:p>
            <w:pPr>
              <w:spacing w:line="400" w:lineRule="exact"/>
              <w:ind w:firstLine="210" w:firstLineChars="100"/>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t xml:space="preserve">见有《内部审核计划表》 </w:t>
            </w:r>
          </w:p>
          <w:p>
            <w:pPr>
              <w:spacing w:line="400" w:lineRule="exact"/>
              <w:ind w:firstLine="210" w:firstLineChars="100"/>
              <w:rPr>
                <w:rFonts w:hint="eastAsia" w:ascii="Times New Roman" w:hAnsi="Times New Roman" w:cs="Times New Roman"/>
                <w:sz w:val="21"/>
                <w:szCs w:val="21"/>
                <w:lang w:val="en-US" w:eastAsia="zh-CN"/>
              </w:rPr>
            </w:pPr>
            <w:r>
              <w:rPr>
                <w:rFonts w:hint="eastAsia" w:ascii="Times New Roman" w:hAnsi="Times New Roman" w:cs="Times New Roman"/>
                <w:sz w:val="21"/>
                <w:szCs w:val="21"/>
                <w:lang w:eastAsia="zh-CN"/>
              </w:rPr>
              <w:t>内审时间：</w:t>
            </w:r>
            <w:r>
              <w:rPr>
                <w:rFonts w:hint="eastAsia" w:cs="Times New Roman"/>
                <w:sz w:val="21"/>
                <w:szCs w:val="21"/>
                <w:lang w:val="en-US" w:eastAsia="zh-CN"/>
              </w:rPr>
              <w:t>2020年11月15日</w:t>
            </w:r>
            <w:r>
              <w:rPr>
                <w:rFonts w:hint="eastAsia" w:ascii="Times New Roman" w:hAnsi="Times New Roman" w:cs="Times New Roman"/>
                <w:sz w:val="21"/>
                <w:szCs w:val="21"/>
                <w:lang w:val="en-US" w:eastAsia="zh-CN"/>
              </w:rPr>
              <w:t xml:space="preserve">       </w:t>
            </w:r>
          </w:p>
          <w:p>
            <w:pPr>
              <w:spacing w:line="400" w:lineRule="exact"/>
              <w:ind w:firstLine="210" w:firstLineChars="100"/>
              <w:rPr>
                <w:rFonts w:hint="eastAsia" w:ascii="Times New Roman" w:hAnsi="Times New Roman" w:cs="Times New Roman"/>
                <w:sz w:val="21"/>
                <w:szCs w:val="21"/>
                <w:lang w:val="en-US" w:eastAsia="zh-CN"/>
              </w:rPr>
            </w:pPr>
            <w:r>
              <w:rPr>
                <w:rFonts w:hint="eastAsia" w:ascii="Times New Roman" w:hAnsi="Times New Roman" w:cs="Times New Roman"/>
                <w:sz w:val="21"/>
                <w:szCs w:val="21"/>
                <w:lang w:eastAsia="zh-CN"/>
              </w:rPr>
              <w:t>内审组</w:t>
            </w:r>
            <w:r>
              <w:rPr>
                <w:rFonts w:hint="eastAsia" w:ascii="Times New Roman" w:hAnsi="Times New Roman" w:cs="Times New Roman"/>
                <w:sz w:val="21"/>
                <w:szCs w:val="21"/>
                <w:lang w:val="en-US" w:eastAsia="zh-CN"/>
              </w:rPr>
              <w:t>：张旭良</w:t>
            </w:r>
            <w:r>
              <w:rPr>
                <w:rFonts w:hint="eastAsia" w:ascii="Times New Roman" w:hAnsi="Times New Roman" w:cs="Times New Roman"/>
                <w:sz w:val="21"/>
                <w:szCs w:val="21"/>
                <w:lang w:eastAsia="zh-CN"/>
              </w:rPr>
              <w:t xml:space="preserve">（组长） 、韩莎莎（组员）  </w:t>
            </w:r>
          </w:p>
          <w:p>
            <w:pPr>
              <w:spacing w:line="400" w:lineRule="exact"/>
              <w:ind w:firstLine="210" w:firstLineChars="100"/>
              <w:rPr>
                <w:rFonts w:hint="eastAsia" w:eastAsia="宋体"/>
                <w:sz w:val="21"/>
                <w:szCs w:val="21"/>
                <w:lang w:eastAsia="zh-CN"/>
              </w:rPr>
            </w:pPr>
            <w:r>
              <w:rPr>
                <w:rFonts w:hint="eastAsia" w:ascii="Times New Roman" w:hAnsi="Times New Roman" w:cs="Times New Roman"/>
                <w:sz w:val="21"/>
                <w:szCs w:val="21"/>
                <w:lang w:val="en-US" w:eastAsia="zh-CN"/>
              </w:rPr>
              <w:t>见有：《内审不符合项报告》1份，涉及市场部9.1.2条款在20</w:t>
            </w:r>
            <w:r>
              <w:rPr>
                <w:rFonts w:hint="eastAsia" w:cs="Times New Roman"/>
                <w:sz w:val="21"/>
                <w:szCs w:val="21"/>
                <w:lang w:val="en-US" w:eastAsia="zh-CN"/>
              </w:rPr>
              <w:t>20</w:t>
            </w:r>
            <w:r>
              <w:rPr>
                <w:rFonts w:hint="eastAsia" w:ascii="Times New Roman" w:hAnsi="Times New Roman" w:cs="Times New Roman"/>
                <w:sz w:val="21"/>
                <w:szCs w:val="21"/>
                <w:lang w:val="en-US" w:eastAsia="zh-CN"/>
              </w:rPr>
              <w:t>年未进行客户满意度调查.针</w:t>
            </w:r>
            <w:r>
              <w:rPr>
                <w:rFonts w:hint="eastAsia" w:ascii="Times New Roman" w:hAnsi="Times New Roman" w:cs="Times New Roman"/>
                <w:sz w:val="21"/>
                <w:szCs w:val="21"/>
                <w:lang w:eastAsia="zh-CN"/>
              </w:rPr>
              <w:t>对该不符合项，已及时采取纠正措施后，经内审员验证关闭。查见《内部审核报告》，有审核结论：公司的体系运行符合自身的质量管理体系及标准要求且得到有效的实施和保持</w:t>
            </w:r>
            <w:r>
              <w:rPr>
                <w:rFonts w:hint="eastAsia" w:cs="Times New Roman"/>
                <w:sz w:val="21"/>
                <w:szCs w:val="21"/>
                <w:lang w:eastAsia="zh-CN"/>
              </w:rPr>
              <w:t>。</w:t>
            </w:r>
          </w:p>
        </w:tc>
        <w:tc>
          <w:tcPr>
            <w:tcW w:w="1741" w:type="dxa"/>
            <w:noWrap w:val="0"/>
            <w:vAlign w:val="top"/>
          </w:tcPr>
          <w:p>
            <w:pPr>
              <w:adjustRightInd w:val="0"/>
              <w:snapToGrid w:val="0"/>
              <w:rPr>
                <w:rFonts w:hint="eastAsia" w:ascii="宋体" w:hAnsi="宋体" w:cs="Times New Roman"/>
                <w:color w:val="auto"/>
                <w:szCs w:val="21"/>
                <w:highlight w:val="none"/>
              </w:rPr>
            </w:pPr>
            <w:r>
              <w:rPr>
                <w:rFonts w:hint="eastAsia" w:ascii="宋体" w:hAnsi="宋体" w:cs="Times New Roman"/>
                <w:color w:val="auto"/>
                <w:szCs w:val="21"/>
                <w:highlight w:val="none"/>
              </w:rPr>
              <w:t>Q:</w:t>
            </w:r>
            <w:r>
              <w:rPr>
                <w:rFonts w:hint="eastAsia" w:ascii="宋体" w:hAnsi="宋体" w:cs="Times New Roman"/>
                <w:color w:val="auto"/>
                <w:szCs w:val="21"/>
                <w:highlight w:val="none"/>
                <w:lang w:val="en-US" w:eastAsia="zh-CN"/>
              </w:rPr>
              <w:t>9.</w:t>
            </w:r>
            <w:r>
              <w:rPr>
                <w:rFonts w:hint="eastAsia" w:ascii="宋体" w:hAnsi="宋体" w:cs="Times New Roman"/>
                <w:color w:val="auto"/>
                <w:szCs w:val="21"/>
                <w:highlight w:val="none"/>
              </w:rPr>
              <w:t>2</w:t>
            </w:r>
          </w:p>
          <w:p>
            <w:pPr>
              <w:adjustRightInd w:val="0"/>
              <w:snapToGrid w:val="0"/>
              <w:rPr>
                <w:rFonts w:hint="eastAsia" w:ascii="宋体" w:hAnsi="宋体" w:eastAsia="宋体" w:cs="Times New Roman"/>
                <w:color w:val="auto"/>
                <w:kern w:val="2"/>
                <w:sz w:val="21"/>
                <w:szCs w:val="21"/>
                <w:highlight w:val="none"/>
                <w:lang w:val="en-US" w:eastAsia="zh-CN" w:bidi="ar-SA"/>
              </w:rPr>
            </w:pPr>
          </w:p>
        </w:tc>
        <w:tc>
          <w:tcPr>
            <w:tcW w:w="614" w:type="dxa"/>
            <w:noWrap w:val="0"/>
            <w:vAlign w:val="top"/>
          </w:tcPr>
          <w:p>
            <w:pPr>
              <w:adjustRightInd w:val="0"/>
              <w:snapToGrid w:val="0"/>
              <w:rPr>
                <w:rFonts w:hint="eastAsia" w:ascii="宋体" w:hAnsi="宋体" w:cs="Times New Roman"/>
                <w:color w:val="auto"/>
                <w:szCs w:val="21"/>
                <w:highlight w:val="none"/>
              </w:rPr>
            </w:pPr>
            <w:r>
              <w:rPr>
                <w:rFonts w:hint="eastAsia" w:ascii="宋体" w:hAnsi="宋体" w:cs="Times New Roman"/>
                <w:color w:val="auto"/>
                <w:szCs w:val="21"/>
                <w:highlight w:val="none"/>
              </w:rPr>
              <w:t>符合</w:t>
            </w:r>
          </w:p>
          <w:p>
            <w:pPr>
              <w:adjustRightInd w:val="0"/>
              <w:snapToGrid w:val="0"/>
              <w:rPr>
                <w:rFonts w:hint="eastAsia" w:ascii="宋体" w:hAnsi="宋体" w:eastAsia="宋体" w:cs="Times New Roman"/>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687" w:type="dxa"/>
            <w:noWrap w:val="0"/>
            <w:vAlign w:val="top"/>
          </w:tcPr>
          <w:p>
            <w:pPr>
              <w:spacing w:line="400" w:lineRule="exact"/>
              <w:rPr>
                <w:rFonts w:hint="eastAsia"/>
                <w:sz w:val="21"/>
                <w:szCs w:val="21"/>
              </w:rPr>
            </w:pPr>
            <w:r>
              <w:rPr>
                <w:rFonts w:hint="eastAsia"/>
                <w:sz w:val="21"/>
                <w:szCs w:val="21"/>
              </w:rPr>
              <w:t>管理评审：</w:t>
            </w:r>
          </w:p>
          <w:p>
            <w:pPr>
              <w:spacing w:line="400" w:lineRule="exact"/>
              <w:rPr>
                <w:rFonts w:hint="eastAsia"/>
                <w:sz w:val="21"/>
                <w:szCs w:val="21"/>
              </w:rPr>
            </w:pPr>
          </w:p>
          <w:p>
            <w:pPr>
              <w:spacing w:line="400" w:lineRule="exact"/>
              <w:rPr>
                <w:rFonts w:hint="eastAsia"/>
                <w:sz w:val="21"/>
                <w:szCs w:val="21"/>
              </w:rPr>
            </w:pPr>
            <w:r>
              <w:rPr>
                <w:rFonts w:hint="eastAsia"/>
                <w:sz w:val="21"/>
                <w:szCs w:val="21"/>
              </w:rPr>
              <w:t>时间</w:t>
            </w:r>
          </w:p>
          <w:p>
            <w:pPr>
              <w:spacing w:line="400" w:lineRule="exact"/>
              <w:rPr>
                <w:rFonts w:hint="eastAsia"/>
                <w:sz w:val="21"/>
                <w:szCs w:val="21"/>
              </w:rPr>
            </w:pPr>
          </w:p>
          <w:p>
            <w:pPr>
              <w:spacing w:line="400" w:lineRule="exact"/>
              <w:rPr>
                <w:rFonts w:hint="eastAsia"/>
                <w:sz w:val="21"/>
                <w:szCs w:val="21"/>
              </w:rPr>
            </w:pPr>
            <w:r>
              <w:rPr>
                <w:rFonts w:hint="eastAsia"/>
                <w:sz w:val="21"/>
                <w:szCs w:val="21"/>
              </w:rPr>
              <w:t>输入是否完整</w:t>
            </w:r>
          </w:p>
          <w:p>
            <w:pPr>
              <w:spacing w:line="400" w:lineRule="exact"/>
              <w:rPr>
                <w:rFonts w:hint="eastAsia"/>
                <w:sz w:val="21"/>
                <w:szCs w:val="21"/>
              </w:rPr>
            </w:pPr>
          </w:p>
          <w:p>
            <w:pPr>
              <w:spacing w:line="400" w:lineRule="exact"/>
              <w:rPr>
                <w:rFonts w:hint="eastAsia"/>
                <w:sz w:val="21"/>
                <w:szCs w:val="21"/>
              </w:rPr>
            </w:pPr>
            <w:r>
              <w:rPr>
                <w:rFonts w:hint="eastAsia"/>
                <w:sz w:val="21"/>
                <w:szCs w:val="21"/>
              </w:rPr>
              <w:t>提出的改进内容</w:t>
            </w:r>
          </w:p>
          <w:p>
            <w:pPr>
              <w:spacing w:line="400" w:lineRule="exact"/>
              <w:rPr>
                <w:rFonts w:hint="eastAsia"/>
                <w:sz w:val="21"/>
                <w:szCs w:val="21"/>
              </w:rPr>
            </w:pPr>
          </w:p>
        </w:tc>
        <w:tc>
          <w:tcPr>
            <w:tcW w:w="9261" w:type="dxa"/>
            <w:noWrap w:val="0"/>
            <w:vAlign w:val="top"/>
          </w:tcPr>
          <w:p>
            <w:pPr>
              <w:adjustRightInd w:val="0"/>
              <w:spacing w:line="400" w:lineRule="exact"/>
              <w:textAlignment w:val="baseline"/>
              <w:rPr>
                <w:rFonts w:hint="eastAsia" w:ascii="宋体" w:hAnsi="宋体"/>
                <w:kern w:val="0"/>
                <w:sz w:val="21"/>
                <w:szCs w:val="21"/>
              </w:rPr>
            </w:pPr>
            <w:r>
              <w:rPr>
                <w:rFonts w:hint="eastAsia" w:ascii="宋体" w:hAnsi="宋体"/>
                <w:kern w:val="0"/>
                <w:sz w:val="21"/>
                <w:szCs w:val="21"/>
              </w:rPr>
              <w:t>查见《管理评审计划》、《管理评审报告》等</w:t>
            </w:r>
          </w:p>
          <w:p>
            <w:pPr>
              <w:adjustRightInd w:val="0"/>
              <w:spacing w:line="400" w:lineRule="exact"/>
              <w:textAlignment w:val="baseline"/>
              <w:rPr>
                <w:rFonts w:hint="eastAsia" w:ascii="Times New Roman" w:hAnsi="Times New Roman" w:cs="Times New Roman"/>
                <w:sz w:val="21"/>
                <w:szCs w:val="21"/>
              </w:rPr>
            </w:pPr>
            <w:r>
              <w:rPr>
                <w:rFonts w:hint="eastAsia" w:ascii="宋体" w:hAnsi="宋体"/>
                <w:kern w:val="0"/>
                <w:sz w:val="21"/>
                <w:szCs w:val="21"/>
              </w:rPr>
              <w:t>管理评</w:t>
            </w:r>
            <w:r>
              <w:rPr>
                <w:rFonts w:hint="eastAsia" w:ascii="Times New Roman" w:hAnsi="Times New Roman" w:cs="Times New Roman"/>
                <w:sz w:val="21"/>
                <w:szCs w:val="21"/>
              </w:rPr>
              <w:t>审于</w:t>
            </w:r>
            <w:r>
              <w:rPr>
                <w:rFonts w:hint="eastAsia" w:cs="Times New Roman"/>
                <w:sz w:val="21"/>
                <w:szCs w:val="21"/>
                <w:lang w:eastAsia="zh-CN"/>
              </w:rPr>
              <w:t>2020年11月23日</w:t>
            </w:r>
            <w:r>
              <w:rPr>
                <w:rFonts w:hint="eastAsia" w:ascii="Times New Roman" w:hAnsi="Times New Roman" w:cs="Times New Roman"/>
                <w:sz w:val="21"/>
                <w:szCs w:val="21"/>
              </w:rPr>
              <w:t>由总经理</w:t>
            </w:r>
            <w:r>
              <w:rPr>
                <w:rFonts w:hint="eastAsia"/>
                <w:lang w:eastAsia="zh-CN"/>
              </w:rPr>
              <w:t>陈习军</w:t>
            </w:r>
            <w:r>
              <w:rPr>
                <w:rFonts w:hint="eastAsia" w:ascii="Times New Roman" w:hAnsi="Times New Roman" w:cs="Times New Roman"/>
                <w:sz w:val="21"/>
                <w:szCs w:val="21"/>
                <w:lang w:val="en-US" w:eastAsia="zh-CN"/>
              </w:rPr>
              <w:t>主持</w:t>
            </w:r>
            <w:r>
              <w:rPr>
                <w:rFonts w:hint="eastAsia" w:ascii="Times New Roman" w:hAnsi="Times New Roman" w:cs="Times New Roman"/>
                <w:sz w:val="21"/>
                <w:szCs w:val="21"/>
              </w:rPr>
              <w:t>完成。</w:t>
            </w:r>
          </w:p>
          <w:p>
            <w:pPr>
              <w:adjustRightInd w:val="0"/>
              <w:spacing w:line="400" w:lineRule="exact"/>
              <w:textAlignment w:val="baseline"/>
              <w:rPr>
                <w:rFonts w:hint="eastAsia" w:ascii="宋体" w:hAnsi="宋体"/>
                <w:kern w:val="0"/>
                <w:sz w:val="21"/>
                <w:szCs w:val="21"/>
              </w:rPr>
            </w:pPr>
            <w:r>
              <w:rPr>
                <w:rFonts w:hint="eastAsia" w:ascii="宋体" w:hAnsi="宋体"/>
                <w:kern w:val="0"/>
                <w:sz w:val="21"/>
                <w:szCs w:val="21"/>
              </w:rPr>
              <w:t>提供主要输入材料有：各部门总结，输入信息基本充分和满足要求。</w:t>
            </w:r>
          </w:p>
          <w:p>
            <w:pPr>
              <w:adjustRightInd w:val="0"/>
              <w:spacing w:line="400" w:lineRule="exact"/>
              <w:textAlignment w:val="baseline"/>
              <w:rPr>
                <w:rFonts w:hint="eastAsia" w:ascii="宋体" w:hAnsi="宋体"/>
                <w:kern w:val="0"/>
                <w:sz w:val="21"/>
                <w:szCs w:val="21"/>
              </w:rPr>
            </w:pPr>
            <w:r>
              <w:rPr>
                <w:rFonts w:hint="eastAsia" w:ascii="宋体" w:hAnsi="宋体"/>
                <w:kern w:val="0"/>
                <w:sz w:val="21"/>
                <w:szCs w:val="21"/>
              </w:rPr>
              <w:t>输出见“管理评审报告”, 做出了管理体系基本适宜、充分和有效的评审结论。</w:t>
            </w:r>
          </w:p>
          <w:p>
            <w:pPr>
              <w:adjustRightInd w:val="0"/>
              <w:spacing w:line="400" w:lineRule="exact"/>
              <w:textAlignment w:val="baseline"/>
              <w:rPr>
                <w:rFonts w:hint="eastAsia" w:ascii="宋体" w:hAnsi="宋体" w:cs="Times New Roman"/>
                <w:kern w:val="0"/>
                <w:sz w:val="21"/>
                <w:szCs w:val="21"/>
              </w:rPr>
            </w:pPr>
          </w:p>
          <w:p>
            <w:pPr>
              <w:adjustRightInd w:val="0"/>
              <w:spacing w:line="400" w:lineRule="exact"/>
              <w:textAlignment w:val="baseline"/>
              <w:rPr>
                <w:rFonts w:hint="eastAsia" w:ascii="宋体" w:hAnsi="宋体" w:cs="Times New Roman"/>
                <w:kern w:val="0"/>
                <w:sz w:val="21"/>
                <w:szCs w:val="21"/>
              </w:rPr>
            </w:pPr>
            <w:r>
              <w:rPr>
                <w:rFonts w:hint="eastAsia" w:ascii="宋体" w:hAnsi="宋体" w:cs="Times New Roman"/>
                <w:kern w:val="0"/>
                <w:sz w:val="21"/>
                <w:szCs w:val="21"/>
              </w:rPr>
              <w:t>提出改进项：</w:t>
            </w:r>
          </w:p>
          <w:p>
            <w:pPr>
              <w:adjustRightInd w:val="0"/>
              <w:spacing w:line="400" w:lineRule="exact"/>
              <w:textAlignment w:val="baseline"/>
              <w:rPr>
                <w:rFonts w:hint="default" w:ascii="宋体" w:hAnsi="宋体" w:eastAsia="宋体"/>
                <w:kern w:val="0"/>
                <w:sz w:val="21"/>
                <w:szCs w:val="21"/>
                <w:lang w:val="en-US" w:eastAsia="zh-CN"/>
              </w:rPr>
            </w:pPr>
            <w:r>
              <w:rPr>
                <w:rFonts w:hint="eastAsia" w:ascii="宋体" w:hAnsi="宋体" w:cs="Times New Roman"/>
                <w:kern w:val="0"/>
                <w:sz w:val="21"/>
                <w:szCs w:val="21"/>
                <w:lang w:val="en-US" w:eastAsia="zh-CN"/>
              </w:rPr>
              <w:t>加强销售人员对PCBA的加工产品生产专业知识的培训.查见改进计划。</w:t>
            </w:r>
          </w:p>
        </w:tc>
        <w:tc>
          <w:tcPr>
            <w:tcW w:w="1741" w:type="dxa"/>
            <w:noWrap w:val="0"/>
            <w:vAlign w:val="top"/>
          </w:tcPr>
          <w:p>
            <w:pPr>
              <w:adjustRightInd w:val="0"/>
              <w:snapToGrid w:val="0"/>
              <w:rPr>
                <w:rFonts w:hint="default" w:ascii="宋体" w:hAnsi="宋体" w:cs="Times New Roman"/>
                <w:color w:val="auto"/>
                <w:szCs w:val="21"/>
                <w:highlight w:val="none"/>
                <w:lang w:val="en-US"/>
              </w:rPr>
            </w:pPr>
            <w:r>
              <w:rPr>
                <w:rFonts w:hint="eastAsia" w:ascii="宋体" w:hAnsi="宋体" w:cs="Times New Roman"/>
                <w:color w:val="auto"/>
                <w:szCs w:val="21"/>
                <w:highlight w:val="none"/>
              </w:rPr>
              <w:t>Q:</w:t>
            </w:r>
            <w:r>
              <w:rPr>
                <w:rFonts w:hint="eastAsia" w:ascii="宋体" w:hAnsi="宋体" w:cs="Times New Roman"/>
                <w:color w:val="auto"/>
                <w:szCs w:val="21"/>
                <w:highlight w:val="none"/>
                <w:lang w:val="en-US" w:eastAsia="zh-CN"/>
              </w:rPr>
              <w:t>9.3</w:t>
            </w:r>
          </w:p>
          <w:p>
            <w:pPr>
              <w:adjustRightInd w:val="0"/>
              <w:snapToGrid w:val="0"/>
              <w:rPr>
                <w:rFonts w:hint="eastAsia" w:ascii="宋体" w:hAnsi="宋体" w:eastAsia="宋体" w:cs="Times New Roman"/>
                <w:color w:val="auto"/>
                <w:kern w:val="2"/>
                <w:sz w:val="21"/>
                <w:szCs w:val="21"/>
                <w:highlight w:val="none"/>
                <w:lang w:val="en-US" w:eastAsia="zh-CN" w:bidi="ar-SA"/>
              </w:rPr>
            </w:pPr>
          </w:p>
        </w:tc>
        <w:tc>
          <w:tcPr>
            <w:tcW w:w="614" w:type="dxa"/>
            <w:noWrap w:val="0"/>
            <w:vAlign w:val="top"/>
          </w:tcPr>
          <w:p>
            <w:pPr>
              <w:adjustRightInd w:val="0"/>
              <w:snapToGrid w:val="0"/>
              <w:rPr>
                <w:rFonts w:hint="eastAsia" w:ascii="宋体" w:hAnsi="宋体" w:cs="Times New Roman"/>
                <w:color w:val="auto"/>
                <w:szCs w:val="21"/>
                <w:highlight w:val="none"/>
              </w:rPr>
            </w:pPr>
            <w:r>
              <w:rPr>
                <w:rFonts w:hint="eastAsia" w:ascii="宋体" w:hAnsi="宋体" w:cs="Times New Roman"/>
                <w:color w:val="auto"/>
                <w:szCs w:val="21"/>
                <w:highlight w:val="none"/>
              </w:rPr>
              <w:t>符合</w:t>
            </w:r>
          </w:p>
          <w:p>
            <w:pPr>
              <w:adjustRightInd w:val="0"/>
              <w:snapToGrid w:val="0"/>
              <w:rPr>
                <w:rFonts w:hint="eastAsia" w:ascii="宋体" w:hAnsi="宋体" w:eastAsia="宋体" w:cs="Times New Roman"/>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687" w:type="dxa"/>
            <w:noWrap w:val="0"/>
            <w:vAlign w:val="top"/>
          </w:tcPr>
          <w:p>
            <w:pPr>
              <w:adjustRightInd w:val="0"/>
              <w:spacing w:line="400" w:lineRule="exact"/>
              <w:textAlignment w:val="baseline"/>
              <w:rPr>
                <w:rFonts w:hint="eastAsia" w:ascii="宋体" w:hAnsi="宋体" w:cs="Times New Roman"/>
                <w:kern w:val="0"/>
                <w:sz w:val="21"/>
                <w:szCs w:val="21"/>
                <w:lang w:val="en-US" w:eastAsia="zh-CN"/>
              </w:rPr>
            </w:pPr>
            <w:r>
              <w:rPr>
                <w:rFonts w:hint="eastAsia" w:ascii="宋体" w:hAnsi="宋体" w:cs="Times New Roman"/>
                <w:kern w:val="0"/>
                <w:sz w:val="21"/>
                <w:szCs w:val="21"/>
                <w:lang w:val="en-US" w:eastAsia="zh-CN"/>
              </w:rPr>
              <w:t>是否具备二阶段审核结论</w:t>
            </w:r>
          </w:p>
          <w:p>
            <w:pPr>
              <w:adjustRightInd w:val="0"/>
              <w:spacing w:line="400" w:lineRule="exact"/>
              <w:textAlignment w:val="baseline"/>
              <w:rPr>
                <w:rFonts w:hint="eastAsia" w:ascii="宋体" w:hAnsi="宋体" w:cs="Times New Roman"/>
                <w:kern w:val="0"/>
                <w:sz w:val="21"/>
                <w:szCs w:val="21"/>
                <w:lang w:val="en-US" w:eastAsia="zh-CN"/>
              </w:rPr>
            </w:pPr>
          </w:p>
          <w:p>
            <w:pPr>
              <w:adjustRightInd w:val="0"/>
              <w:spacing w:line="400" w:lineRule="exact"/>
              <w:textAlignment w:val="baseline"/>
              <w:rPr>
                <w:rFonts w:hint="eastAsia" w:ascii="宋体" w:hAnsi="宋体" w:cs="Times New Roman"/>
                <w:kern w:val="0"/>
                <w:sz w:val="21"/>
                <w:szCs w:val="21"/>
                <w:lang w:val="en-US" w:eastAsia="zh-CN"/>
              </w:rPr>
            </w:pPr>
          </w:p>
          <w:p>
            <w:pPr>
              <w:adjustRightInd w:val="0"/>
              <w:spacing w:line="400" w:lineRule="exact"/>
              <w:textAlignment w:val="baseline"/>
              <w:rPr>
                <w:rFonts w:hint="eastAsia" w:ascii="宋体" w:hAnsi="宋体" w:cs="Times New Roman"/>
                <w:kern w:val="0"/>
                <w:sz w:val="21"/>
                <w:szCs w:val="21"/>
              </w:rPr>
            </w:pPr>
            <w:r>
              <w:rPr>
                <w:rFonts w:hint="eastAsia" w:ascii="宋体" w:hAnsi="宋体" w:cs="Times New Roman"/>
                <w:kern w:val="0"/>
                <w:sz w:val="21"/>
                <w:szCs w:val="21"/>
                <w:lang w:val="en-US" w:eastAsia="zh-CN"/>
              </w:rPr>
              <w:t>第二阶段重要审核点等相关内容</w:t>
            </w:r>
          </w:p>
        </w:tc>
        <w:tc>
          <w:tcPr>
            <w:tcW w:w="9261" w:type="dxa"/>
            <w:noWrap w:val="0"/>
            <w:vAlign w:val="top"/>
          </w:tcPr>
          <w:p>
            <w:pPr>
              <w:adjustRightInd w:val="0"/>
              <w:spacing w:line="400" w:lineRule="exact"/>
              <w:textAlignment w:val="baseline"/>
              <w:rPr>
                <w:rFonts w:hint="eastAsia" w:ascii="宋体" w:hAnsi="宋体" w:cs="Times New Roman"/>
                <w:kern w:val="0"/>
                <w:sz w:val="21"/>
                <w:szCs w:val="21"/>
                <w:lang w:val="en-US" w:eastAsia="zh-CN"/>
              </w:rPr>
            </w:pPr>
            <w:r>
              <w:rPr>
                <w:rFonts w:hint="eastAsia" w:ascii="宋体" w:hAnsi="宋体" w:cs="Times New Roman"/>
                <w:kern w:val="0"/>
                <w:sz w:val="21"/>
                <w:szCs w:val="21"/>
                <w:lang w:val="en-US" w:eastAsia="zh-CN"/>
              </w:rPr>
              <w:t>通过一阶段对受审核方的管理、生产现场巡视和观察，对管理体系绩效要求有重大影响的过程、活动、场所和现场运行进行观察、巡视及总体性评价，组织具备二阶段审核条件，可进行二阶段审核。</w:t>
            </w:r>
          </w:p>
          <w:p>
            <w:pPr>
              <w:adjustRightInd w:val="0"/>
              <w:spacing w:line="400" w:lineRule="exact"/>
              <w:textAlignment w:val="baseline"/>
              <w:rPr>
                <w:rFonts w:hint="eastAsia" w:ascii="宋体" w:hAnsi="宋体" w:cs="Times New Roman"/>
                <w:kern w:val="0"/>
                <w:sz w:val="21"/>
                <w:szCs w:val="21"/>
                <w:lang w:val="en-US" w:eastAsia="zh-CN"/>
              </w:rPr>
            </w:pPr>
          </w:p>
          <w:p>
            <w:pPr>
              <w:adjustRightInd w:val="0"/>
              <w:spacing w:line="400" w:lineRule="exact"/>
              <w:textAlignment w:val="baseline"/>
              <w:rPr>
                <w:rFonts w:hint="eastAsia" w:ascii="宋体" w:hAnsi="宋体" w:cs="Times New Roman"/>
                <w:kern w:val="0"/>
                <w:sz w:val="21"/>
                <w:szCs w:val="21"/>
                <w:lang w:val="en-US" w:eastAsia="zh-CN"/>
              </w:rPr>
            </w:pPr>
            <w:r>
              <w:rPr>
                <w:rFonts w:hint="eastAsia" w:ascii="宋体" w:hAnsi="宋体" w:cs="Times New Roman"/>
                <w:kern w:val="0"/>
                <w:sz w:val="21"/>
                <w:szCs w:val="21"/>
                <w:lang w:val="en-US" w:eastAsia="zh-CN"/>
              </w:rPr>
              <w:t>二阶段质量管理体系宜重点关注（关键生产、检验、采购过程及生产提供场所）：</w:t>
            </w:r>
          </w:p>
          <w:p>
            <w:pPr>
              <w:adjustRightInd w:val="0"/>
              <w:spacing w:line="400" w:lineRule="exact"/>
              <w:textAlignment w:val="baseline"/>
              <w:rPr>
                <w:rFonts w:hint="eastAsia" w:ascii="宋体" w:hAnsi="宋体" w:cs="Times New Roman"/>
                <w:kern w:val="0"/>
                <w:sz w:val="21"/>
                <w:szCs w:val="21"/>
                <w:lang w:val="en-US" w:eastAsia="zh-CN"/>
              </w:rPr>
            </w:pPr>
            <w:r>
              <w:rPr>
                <w:rFonts w:hint="eastAsia" w:ascii="宋体" w:hAnsi="宋体" w:cs="Times New Roman"/>
                <w:kern w:val="0"/>
                <w:sz w:val="21"/>
                <w:szCs w:val="21"/>
                <w:lang w:val="en-US" w:eastAsia="zh-CN"/>
              </w:rPr>
              <w:t>重点审核部门：生产部、质量部</w:t>
            </w:r>
          </w:p>
          <w:p>
            <w:pPr>
              <w:adjustRightInd w:val="0"/>
              <w:spacing w:line="400" w:lineRule="exact"/>
              <w:textAlignment w:val="baseline"/>
              <w:rPr>
                <w:rFonts w:hint="eastAsia" w:ascii="宋体" w:hAnsi="宋体" w:cs="Times New Roman"/>
                <w:kern w:val="0"/>
                <w:sz w:val="21"/>
                <w:szCs w:val="21"/>
                <w:lang w:val="en-US" w:eastAsia="zh-CN"/>
              </w:rPr>
            </w:pPr>
            <w:r>
              <w:rPr>
                <w:rFonts w:hint="eastAsia" w:ascii="宋体" w:hAnsi="宋体" w:cs="Times New Roman"/>
                <w:kern w:val="0"/>
                <w:sz w:val="21"/>
                <w:szCs w:val="21"/>
                <w:lang w:val="en-US" w:eastAsia="zh-CN"/>
              </w:rPr>
              <w:t>重点审核过程：外部供应产品和服务的控制、产品放行、不合格产品控制等</w:t>
            </w:r>
          </w:p>
          <w:p>
            <w:pPr>
              <w:adjustRightInd w:val="0"/>
              <w:spacing w:line="400" w:lineRule="exact"/>
              <w:textAlignment w:val="baseline"/>
              <w:rPr>
                <w:rFonts w:hint="eastAsia" w:ascii="宋体" w:hAnsi="宋体" w:cs="Times New Roman"/>
                <w:kern w:val="0"/>
                <w:sz w:val="21"/>
                <w:szCs w:val="21"/>
              </w:rPr>
            </w:pPr>
            <w:r>
              <w:rPr>
                <w:rFonts w:hint="eastAsia" w:ascii="宋体" w:hAnsi="宋体" w:cs="Times New Roman"/>
                <w:kern w:val="0"/>
                <w:sz w:val="21"/>
                <w:szCs w:val="21"/>
                <w:lang w:val="en-US" w:eastAsia="zh-CN"/>
              </w:rPr>
              <w:t>重点审核场所：办公区域、生产场所。</w:t>
            </w:r>
          </w:p>
        </w:tc>
        <w:tc>
          <w:tcPr>
            <w:tcW w:w="1741" w:type="dxa"/>
            <w:noWrap w:val="0"/>
            <w:vAlign w:val="top"/>
          </w:tcPr>
          <w:p>
            <w:pPr>
              <w:spacing w:line="440" w:lineRule="exact"/>
              <w:jc w:val="center"/>
              <w:rPr>
                <w:rFonts w:ascii="宋体" w:hAnsi="宋体"/>
                <w:sz w:val="21"/>
                <w:szCs w:val="21"/>
              </w:rPr>
            </w:pPr>
          </w:p>
        </w:tc>
        <w:tc>
          <w:tcPr>
            <w:tcW w:w="614" w:type="dxa"/>
            <w:noWrap w:val="0"/>
            <w:vAlign w:val="top"/>
          </w:tcPr>
          <w:p>
            <w:pPr>
              <w:spacing w:line="440" w:lineRule="exact"/>
              <w:jc w:val="center"/>
              <w:rPr>
                <w:rFonts w:ascii="宋体" w:hAnsi="宋体"/>
                <w:sz w:val="21"/>
                <w:szCs w:val="21"/>
              </w:rPr>
            </w:pPr>
          </w:p>
        </w:tc>
      </w:tr>
    </w:tbl>
    <w:p>
      <w:r>
        <w:ptab w:relativeTo="margin" w:alignment="center" w:leader="none"/>
      </w:r>
    </w:p>
    <w:p/>
    <w:p/>
    <w:p>
      <w:pPr>
        <w:pStyle w:val="6"/>
      </w:pPr>
      <w:r>
        <w:rPr>
          <w:rFonts w:hint="eastAsia"/>
        </w:rPr>
        <w:t>说明：不符合标注N</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7"/>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5"/>
        <w:rFonts w:hint="default"/>
        <w:w w:val="90"/>
      </w:rPr>
      <w:t>Beijing International Standard united Certification Co.,Ltd.</w:t>
    </w:r>
  </w:p>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2D5AC9"/>
    <w:rsid w:val="00306B67"/>
    <w:rsid w:val="005E1068"/>
    <w:rsid w:val="0085463B"/>
    <w:rsid w:val="05987322"/>
    <w:rsid w:val="063209E3"/>
    <w:rsid w:val="0A077559"/>
    <w:rsid w:val="0C6262D8"/>
    <w:rsid w:val="0C883374"/>
    <w:rsid w:val="0D61692F"/>
    <w:rsid w:val="0D976999"/>
    <w:rsid w:val="10261F9D"/>
    <w:rsid w:val="114B7DA1"/>
    <w:rsid w:val="144B0275"/>
    <w:rsid w:val="150C321A"/>
    <w:rsid w:val="16341157"/>
    <w:rsid w:val="174B32BF"/>
    <w:rsid w:val="17853BC6"/>
    <w:rsid w:val="181C3B69"/>
    <w:rsid w:val="1A22011D"/>
    <w:rsid w:val="1A4016E3"/>
    <w:rsid w:val="1BFF6102"/>
    <w:rsid w:val="1C185FBB"/>
    <w:rsid w:val="1C1E217D"/>
    <w:rsid w:val="20EB29D7"/>
    <w:rsid w:val="22313B28"/>
    <w:rsid w:val="252F52D2"/>
    <w:rsid w:val="256B73CB"/>
    <w:rsid w:val="26425604"/>
    <w:rsid w:val="27D9607F"/>
    <w:rsid w:val="280F6983"/>
    <w:rsid w:val="2855259E"/>
    <w:rsid w:val="297F2646"/>
    <w:rsid w:val="29CB0114"/>
    <w:rsid w:val="2A8D3292"/>
    <w:rsid w:val="2B8F2252"/>
    <w:rsid w:val="2BE60E48"/>
    <w:rsid w:val="2BEC1F96"/>
    <w:rsid w:val="2D891E55"/>
    <w:rsid w:val="33817A9F"/>
    <w:rsid w:val="3703618E"/>
    <w:rsid w:val="3D155735"/>
    <w:rsid w:val="3F1E18B0"/>
    <w:rsid w:val="40390C58"/>
    <w:rsid w:val="415A44EE"/>
    <w:rsid w:val="42E01319"/>
    <w:rsid w:val="434D3250"/>
    <w:rsid w:val="43B13DB6"/>
    <w:rsid w:val="48881918"/>
    <w:rsid w:val="4A641845"/>
    <w:rsid w:val="4AC7274C"/>
    <w:rsid w:val="4C362FDE"/>
    <w:rsid w:val="4C797C72"/>
    <w:rsid w:val="4CB92FF8"/>
    <w:rsid w:val="516A2ABB"/>
    <w:rsid w:val="53065364"/>
    <w:rsid w:val="54494458"/>
    <w:rsid w:val="561628C3"/>
    <w:rsid w:val="56600550"/>
    <w:rsid w:val="584971E1"/>
    <w:rsid w:val="5ADA2CBF"/>
    <w:rsid w:val="5ED53EE9"/>
    <w:rsid w:val="5EE0744D"/>
    <w:rsid w:val="5F0F17EF"/>
    <w:rsid w:val="607B25EF"/>
    <w:rsid w:val="61B23A7C"/>
    <w:rsid w:val="61BC7B27"/>
    <w:rsid w:val="62867C92"/>
    <w:rsid w:val="633B4610"/>
    <w:rsid w:val="66311EE7"/>
    <w:rsid w:val="6698073F"/>
    <w:rsid w:val="6A316796"/>
    <w:rsid w:val="6C287CDA"/>
    <w:rsid w:val="6D1E5721"/>
    <w:rsid w:val="70F17F9E"/>
    <w:rsid w:val="74EE314C"/>
    <w:rsid w:val="77620ADA"/>
    <w:rsid w:val="7B5B7484"/>
    <w:rsid w:val="7CC05DCA"/>
    <w:rsid w:val="7D110FE6"/>
    <w:rsid w:val="7F392310"/>
    <w:rsid w:val="7F3D7B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99"/>
    <w:pPr>
      <w:spacing w:after="120" w:afterLines="0"/>
    </w:pPr>
    <w:rPr>
      <w:kern w:val="2"/>
      <w:sz w:val="21"/>
    </w:rPr>
  </w:style>
  <w:style w:type="paragraph" w:styleId="4">
    <w:name w:val="Plain Text"/>
    <w:basedOn w:val="1"/>
    <w:qFormat/>
    <w:uiPriority w:val="0"/>
    <w:pPr>
      <w:jc w:val="both"/>
    </w:pPr>
    <w:rPr>
      <w:rFonts w:ascii="宋体" w:hAnsi="Courier New" w:eastAsia="宋体"/>
      <w:szCs w:val="24"/>
    </w:r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11">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character" w:customStyle="1" w:styleId="12">
    <w:name w:val="页眉 Char"/>
    <w:basedOn w:val="10"/>
    <w:link w:val="7"/>
    <w:qFormat/>
    <w:uiPriority w:val="99"/>
    <w:rPr>
      <w:rFonts w:ascii="Times New Roman" w:hAnsi="Times New Roman" w:eastAsia="宋体" w:cs="Times New Roman"/>
      <w:sz w:val="18"/>
      <w:szCs w:val="18"/>
    </w:rPr>
  </w:style>
  <w:style w:type="character" w:customStyle="1" w:styleId="13">
    <w:name w:val="页脚 Char"/>
    <w:basedOn w:val="10"/>
    <w:link w:val="6"/>
    <w:qFormat/>
    <w:uiPriority w:val="99"/>
    <w:rPr>
      <w:rFonts w:ascii="Times New Roman" w:hAnsi="Times New Roman" w:eastAsia="宋体" w:cs="Times New Roman"/>
      <w:sz w:val="18"/>
      <w:szCs w:val="18"/>
    </w:rPr>
  </w:style>
  <w:style w:type="character" w:customStyle="1" w:styleId="14">
    <w:name w:val="批注框文本 Char"/>
    <w:basedOn w:val="10"/>
    <w:link w:val="5"/>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13</TotalTime>
  <ScaleCrop>false</ScaleCrop>
  <LinksUpToDate>false</LinksUpToDate>
  <CharactersWithSpaces>100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2020-12-26T05:34:47Z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