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w:t>
            </w:r>
            <w:r>
              <w:rPr>
                <w:rFonts w:hint="eastAsia" w:ascii="宋体" w:hAnsi="宋体" w:cs="宋体"/>
                <w:szCs w:val="21"/>
                <w:lang w:val="en-US" w:eastAsia="zh-CN"/>
              </w:rPr>
              <w:t xml:space="preserve">销售部      </w:t>
            </w:r>
            <w:r>
              <w:rPr>
                <w:rFonts w:hint="eastAsia" w:ascii="宋体" w:hAnsi="宋体" w:cs="宋体"/>
                <w:szCs w:val="21"/>
                <w:lang w:eastAsia="zh-CN"/>
              </w:rPr>
              <w:t xml:space="preserve"> 主管领导：</w:t>
            </w:r>
            <w:r>
              <w:rPr>
                <w:rFonts w:hint="default"/>
                <w:lang w:val="en-US" w:eastAsia="zh-CN"/>
              </w:rPr>
              <w:t>翁建山</w:t>
            </w:r>
            <w:r>
              <w:rPr>
                <w:rFonts w:hint="eastAsia" w:ascii="宋体" w:hAnsi="宋体" w:cs="宋体"/>
                <w:szCs w:val="21"/>
                <w:lang w:eastAsia="zh-CN"/>
              </w:rPr>
              <w:t xml:space="preserve">  陪同人员：</w:t>
            </w:r>
            <w:r>
              <w:rPr>
                <w:rFonts w:hint="default"/>
                <w:lang w:val="en-US" w:eastAsia="zh-CN"/>
              </w:rPr>
              <w:t>王锡平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李京田</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销售部负责人：</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测量时间：2020.8月-2020年11月           </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kern w:val="0"/>
              </w:rPr>
              <w:t>交付及时率100％</w:t>
            </w:r>
            <w:r>
              <w:rPr>
                <w:rFonts w:hint="eastAsia" w:ascii="宋体" w:hAnsi="宋体" w:cs="宋体"/>
                <w:color w:val="000000" w:themeColor="text1"/>
                <w:sz w:val="21"/>
                <w:szCs w:val="21"/>
                <w:lang w:val="en-US" w:eastAsia="zh-CN"/>
              </w:rPr>
              <w:t xml:space="preserve">                        实测：100%</w:t>
            </w:r>
          </w:p>
          <w:p>
            <w:pPr>
              <w:spacing w:line="400" w:lineRule="exact"/>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抽见：2020年8-11月进行的顾客满意度调查见调查报告，对客户进行了顾客满意度调查，最后结果为98分。质量目标覆盖相关职能、层次和过程，质量目标与质量方针保持一致，基本符合要求。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360" w:lineRule="auto"/>
              <w:rPr>
                <w:rFonts w:hint="eastAsia"/>
                <w:szCs w:val="21"/>
              </w:rPr>
            </w:pPr>
            <w:r>
              <w:rPr>
                <w:rFonts w:hint="eastAsia"/>
                <w:szCs w:val="21"/>
              </w:rPr>
              <w:t>产品和服务的要求确定、评审和更改</w:t>
            </w:r>
          </w:p>
          <w:p>
            <w:pPr>
              <w:spacing w:line="360" w:lineRule="auto"/>
              <w:rPr>
                <w:rFonts w:hint="eastAsia"/>
                <w:szCs w:val="21"/>
              </w:rPr>
            </w:pPr>
          </w:p>
          <w:p>
            <w:pPr>
              <w:rPr>
                <w:rFonts w:hint="eastAsia" w:ascii="Times New Roman" w:hAnsi="Times New Roman" w:eastAsia="宋体" w:cs="Times New Roman"/>
                <w:kern w:val="2"/>
                <w:sz w:val="21"/>
                <w:szCs w:val="21"/>
                <w:lang w:val="en-US" w:eastAsia="zh-CN" w:bidi="ar-SA"/>
              </w:rPr>
            </w:pPr>
          </w:p>
        </w:tc>
        <w:tc>
          <w:tcPr>
            <w:tcW w:w="960" w:type="dxa"/>
            <w:vAlign w:val="center"/>
          </w:tcPr>
          <w:p>
            <w:pPr>
              <w:rPr>
                <w:rFonts w:hint="eastAsia"/>
                <w:szCs w:val="21"/>
              </w:rPr>
            </w:pPr>
            <w:r>
              <w:rPr>
                <w:rFonts w:hint="eastAsia"/>
                <w:szCs w:val="21"/>
              </w:rPr>
              <w:t>8.2</w:t>
            </w:r>
          </w:p>
          <w:p>
            <w:pPr>
              <w:rPr>
                <w:rFonts w:hint="eastAsia"/>
                <w:szCs w:val="21"/>
              </w:rPr>
            </w:pPr>
          </w:p>
          <w:p>
            <w:pPr>
              <w:rPr>
                <w:rFonts w:hint="eastAsia"/>
                <w:szCs w:val="21"/>
              </w:rPr>
            </w:pPr>
          </w:p>
          <w:p>
            <w:pPr>
              <w:rPr>
                <w:rFonts w:hint="eastAsia" w:ascii="Times New Roman" w:hAnsi="Times New Roman" w:eastAsia="宋体" w:cs="Times New Roman"/>
                <w:kern w:val="2"/>
                <w:sz w:val="21"/>
                <w:szCs w:val="21"/>
                <w:lang w:val="en-US" w:eastAsia="zh-CN" w:bidi="ar-SA"/>
              </w:rPr>
            </w:pPr>
          </w:p>
        </w:tc>
        <w:tc>
          <w:tcPr>
            <w:tcW w:w="10004"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rFonts w:hint="default" w:eastAsia="宋体"/>
                <w:szCs w:val="21"/>
                <w:lang w:val="en-US" w:eastAsia="zh-CN"/>
              </w:rPr>
            </w:pPr>
            <w:r>
              <w:rPr>
                <w:rFonts w:hint="eastAsia"/>
                <w:szCs w:val="21"/>
                <w:lang w:val="en-US" w:eastAsia="zh-CN"/>
              </w:rPr>
              <w:t>提供有销售合同、销售合同评审记录，二阶段详查</w:t>
            </w:r>
          </w:p>
          <w:p>
            <w:pPr>
              <w:rPr>
                <w:rFonts w:hint="eastAsia" w:ascii="Times New Roman" w:hAnsi="Times New Roman" w:eastAsia="宋体" w:cs="Times New Roman"/>
                <w:kern w:val="2"/>
                <w:sz w:val="21"/>
                <w:szCs w:val="21"/>
                <w:lang w:val="en-US" w:eastAsia="zh-CN" w:bidi="ar-SA"/>
              </w:rPr>
            </w:pP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1"/>
              </w:rPr>
            </w:pPr>
            <w:r>
              <w:rPr>
                <w:rFonts w:hint="eastAsia" w:ascii="宋体" w:hAnsi="宋体" w:cs="宋体"/>
                <w:szCs w:val="21"/>
              </w:rPr>
              <w:t>外部提供的 控制</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8.4</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pStyle w:val="2"/>
              <w:rPr>
                <w:rFonts w:hint="eastAsia"/>
                <w:lang w:val="en-US" w:eastAsia="zh-CN"/>
              </w:rPr>
            </w:pPr>
            <w:r>
              <w:rPr>
                <w:rFonts w:hint="eastAsia" w:ascii="宋体" w:hAnsi="宋体" w:cs="宋体"/>
                <w:color w:val="000000" w:themeColor="text1"/>
                <w:szCs w:val="21"/>
                <w:lang w:val="en-US" w:eastAsia="zh-CN"/>
              </w:rPr>
              <w:t xml:space="preserve">   </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提供有合格供方名录、供方评审记录、采购合同、产品的验收记录，二阶段详查</w:t>
            </w:r>
          </w:p>
        </w:tc>
        <w:tc>
          <w:tcPr>
            <w:tcW w:w="1585" w:type="dxa"/>
          </w:tcPr>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 w:val="21"/>
                <w:szCs w:val="21"/>
                <w:lang w:val="en-US" w:eastAsia="zh-CN"/>
              </w:rPr>
              <w:t>销售</w:t>
            </w:r>
            <w:r>
              <w:rPr>
                <w:rFonts w:hint="eastAsia" w:ascii="宋体" w:hAnsi="宋体" w:cs="新宋体"/>
                <w:sz w:val="21"/>
                <w:szCs w:val="21"/>
              </w:rPr>
              <w:t>和服务提供的控制</w:t>
            </w:r>
          </w:p>
        </w:tc>
        <w:tc>
          <w:tcPr>
            <w:tcW w:w="960" w:type="dxa"/>
          </w:tcPr>
          <w:p>
            <w:pPr>
              <w:rPr>
                <w:rFonts w:hint="eastAsia" w:ascii="宋体" w:hAnsi="宋体" w:cs="宋体"/>
                <w:b/>
                <w:szCs w:val="21"/>
              </w:rPr>
            </w:pPr>
            <w:r>
              <w:rPr>
                <w:rFonts w:hint="eastAsia" w:ascii="宋体" w:hAnsi="宋体" w:cs="新宋体"/>
                <w:sz w:val="21"/>
                <w:szCs w:val="21"/>
                <w:lang w:val="en-US" w:eastAsia="zh-CN"/>
              </w:rPr>
              <w:t>8.5.1</w:t>
            </w:r>
          </w:p>
        </w:tc>
        <w:tc>
          <w:tcPr>
            <w:tcW w:w="1000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销售部</w:t>
            </w: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查销售过程控制记录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销售部</w:t>
            </w:r>
            <w:r>
              <w:rPr>
                <w:rFonts w:hint="eastAsia" w:asciiTheme="minorEastAsia" w:hAnsiTheme="minorEastAsia" w:eastAsiaTheme="minorEastAsia" w:cstheme="minorEastAsia"/>
                <w:szCs w:val="21"/>
              </w:rPr>
              <w:t>经常对顾客进行走访，了解顾客的意见。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售前：走访用户、了解相关信息等，与顾客签订合同或订单；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售中：组织供方按期交付，解决用户对进度、质量等关切问题；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售后：与客户保持密切沟通，不定期回访用户，并对顾客反馈问题解答。体系建立实施至今未发生严重顾客投诉。</w:t>
            </w:r>
          </w:p>
          <w:p>
            <w:pPr>
              <w:rPr>
                <w:rFonts w:hint="eastAsia"/>
              </w:rPr>
            </w:pPr>
            <w:r>
              <w:rPr>
                <w:rFonts w:hint="eastAsia" w:asciiTheme="minorEastAsia" w:hAnsiTheme="minorEastAsia" w:eastAsiaTheme="minorEastAsia" w:cstheme="minorEastAsia"/>
                <w:szCs w:val="21"/>
                <w:lang w:eastAsia="zh-CN"/>
              </w:rPr>
              <w:t>销售部</w:t>
            </w:r>
            <w:r>
              <w:rPr>
                <w:rFonts w:hint="eastAsia" w:asciiTheme="minorEastAsia" w:hAnsiTheme="minorEastAsia" w:eastAsiaTheme="minorEastAsia" w:cstheme="minorEastAsia"/>
                <w:szCs w:val="21"/>
              </w:rPr>
              <w:t>获取销售信息，与客户洽谈，在签订合同前对客户要求进行评审，确认可以满足行业有关法律、法规要求和公司规定及客户要求时，签订合同，根据销售合同为客户提供服务。</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提供有销售过程控制记录、销售人员考核记录、特殊过程确认记录，符合要求，二阶段详查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 w:val="21"/>
                <w:szCs w:val="21"/>
                <w:lang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9</w:t>
            </w:r>
            <w:r>
              <w:rPr>
                <w:rFonts w:hint="eastAsia" w:ascii="宋体" w:hAnsi="宋体" w:cs="宋体"/>
                <w:sz w:val="21"/>
                <w:szCs w:val="21"/>
              </w:rPr>
              <w:t>月的调查表共</w:t>
            </w:r>
            <w:r>
              <w:rPr>
                <w:rFonts w:hint="eastAsia" w:ascii="宋体" w:hAnsi="宋体" w:cs="宋体"/>
                <w:sz w:val="21"/>
                <w:szCs w:val="21"/>
                <w:lang w:val="en-US" w:eastAsia="zh-CN"/>
              </w:rPr>
              <w:t>3</w:t>
            </w:r>
            <w:r>
              <w:rPr>
                <w:rFonts w:hint="eastAsia" w:ascii="宋体" w:hAnsi="宋体" w:cs="宋体"/>
                <w:sz w:val="21"/>
                <w:szCs w:val="21"/>
              </w:rPr>
              <w:t>份，回收</w:t>
            </w:r>
            <w:r>
              <w:rPr>
                <w:rFonts w:hint="eastAsia" w:ascii="宋体" w:hAnsi="宋体" w:cs="宋体"/>
                <w:sz w:val="21"/>
                <w:szCs w:val="21"/>
                <w:lang w:val="en-US" w:eastAsia="zh-CN"/>
              </w:rPr>
              <w:t>3</w:t>
            </w:r>
            <w:r>
              <w:rPr>
                <w:rFonts w:hint="eastAsia" w:ascii="宋体" w:hAnsi="宋体" w:cs="宋体"/>
                <w:sz w:val="21"/>
                <w:szCs w:val="21"/>
              </w:rPr>
              <w:t xml:space="preserve">份 </w:t>
            </w:r>
            <w:r>
              <w:rPr>
                <w:rFonts w:hint="eastAsia" w:ascii="宋体" w:hAnsi="宋体" w:cs="宋体"/>
                <w:sz w:val="21"/>
                <w:szCs w:val="21"/>
                <w:lang w:eastAsia="zh-CN"/>
              </w:rPr>
              <w:t>，</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提供有顾客满意度统计，满足要求</w:t>
            </w: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售后</w:t>
            </w:r>
            <w:r>
              <w:rPr>
                <w:rFonts w:hint="eastAsia"/>
                <w:sz w:val="24"/>
                <w:szCs w:val="24"/>
                <w:lang w:eastAsia="zh-CN"/>
              </w:rPr>
              <w:t>部</w:t>
            </w:r>
            <w:r>
              <w:rPr>
                <w:rFonts w:hint="eastAsia"/>
                <w:sz w:val="24"/>
                <w:szCs w:val="24"/>
              </w:rPr>
              <w:t xml:space="preserve">   主管领导：</w:t>
            </w:r>
            <w:r>
              <w:rPr>
                <w:rFonts w:hint="default"/>
                <w:lang w:val="en-US" w:eastAsia="zh-CN"/>
              </w:rPr>
              <w:t>王锡平</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default"/>
                <w:lang w:val="en-US" w:eastAsia="zh-CN"/>
              </w:rPr>
              <w:t>黎邢羽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lang w:val="en-US" w:eastAsia="zh-CN"/>
              </w:rPr>
              <w:t>李京田</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12.21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pacing w:val="-4"/>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1"/>
              </w:numPr>
              <w:spacing w:line="400" w:lineRule="exact"/>
              <w:rPr>
                <w:rFonts w:hint="eastAsia" w:ascii="宋体" w:hAnsi="宋体" w:cs="宋体"/>
                <w:szCs w:val="21"/>
              </w:rPr>
            </w:pPr>
            <w:r>
              <w:rPr>
                <w:rFonts w:hint="eastAsia" w:ascii="宋体" w:hAnsi="宋体" w:cs="宋体"/>
                <w:szCs w:val="21"/>
              </w:rPr>
              <w:t>负责组织</w:t>
            </w:r>
            <w:r>
              <w:rPr>
                <w:rFonts w:hint="eastAsia" w:ascii="宋体" w:hAnsi="宋体" w:cs="宋体"/>
                <w:szCs w:val="21"/>
                <w:lang w:val="en-US" w:eastAsia="zh-CN"/>
              </w:rPr>
              <w:t>销售</w:t>
            </w:r>
            <w:r>
              <w:rPr>
                <w:rFonts w:hint="eastAsia" w:ascii="宋体" w:hAnsi="宋体" w:cs="宋体"/>
                <w:szCs w:val="21"/>
              </w:rPr>
              <w:t>实现过程的策划；</w:t>
            </w:r>
          </w:p>
          <w:p>
            <w:pPr>
              <w:numPr>
                <w:ilvl w:val="0"/>
                <w:numId w:val="1"/>
              </w:numPr>
              <w:spacing w:line="400" w:lineRule="exact"/>
              <w:rPr>
                <w:rFonts w:hint="eastAsia" w:ascii="宋体" w:hAnsi="宋体" w:cs="宋体"/>
                <w:szCs w:val="21"/>
              </w:rPr>
            </w:pPr>
            <w:r>
              <w:rPr>
                <w:rFonts w:hint="eastAsia" w:ascii="宋体" w:hAnsi="宋体" w:cs="宋体"/>
                <w:szCs w:val="21"/>
              </w:rPr>
              <w:t>负责</w:t>
            </w:r>
            <w:r>
              <w:rPr>
                <w:rFonts w:hint="eastAsia" w:ascii="宋体" w:hAnsi="宋体" w:cs="宋体"/>
                <w:szCs w:val="21"/>
                <w:lang w:val="en-US" w:eastAsia="zh-CN"/>
              </w:rPr>
              <w:t>销售</w:t>
            </w:r>
            <w:r>
              <w:rPr>
                <w:rFonts w:hint="eastAsia" w:ascii="宋体" w:hAnsi="宋体" w:cs="宋体"/>
                <w:szCs w:val="21"/>
              </w:rPr>
              <w:t>过程中的技术指导和不合格的控制。</w:t>
            </w:r>
          </w:p>
          <w:p>
            <w:pPr>
              <w:numPr>
                <w:ilvl w:val="0"/>
                <w:numId w:val="1"/>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负责对本公司监视和测量设备的管理工作；</w:t>
            </w:r>
          </w:p>
          <w:p>
            <w:pPr>
              <w:numPr>
                <w:ilvl w:val="0"/>
                <w:numId w:val="1"/>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rPr>
              <w:t>成品检验合格率≥</w:t>
            </w:r>
            <w:r>
              <w:rPr>
                <w:rFonts w:ascii="宋体" w:hAnsi="宋体"/>
                <w:szCs w:val="21"/>
              </w:rPr>
              <w:t>9</w:t>
            </w:r>
            <w:r>
              <w:rPr>
                <w:rFonts w:hint="eastAsia" w:ascii="宋体" w:hAnsi="宋体"/>
                <w:szCs w:val="21"/>
              </w:rPr>
              <w:t>9.9</w:t>
            </w:r>
            <w:r>
              <w:rPr>
                <w:rFonts w:ascii="宋体" w:hAnsi="宋体"/>
                <w:szCs w:val="21"/>
              </w:rPr>
              <w:t>%</w:t>
            </w:r>
            <w:r>
              <w:rPr>
                <w:rFonts w:hint="eastAsia" w:ascii="宋体" w:hAnsi="宋体"/>
                <w:szCs w:val="21"/>
                <w:lang w:val="en-US" w:eastAsia="zh-CN"/>
              </w:rPr>
              <w:t xml:space="preserve">   实测100%</w:t>
            </w:r>
          </w:p>
          <w:p>
            <w:pPr>
              <w:pStyle w:val="2"/>
              <w:ind w:firstLine="600" w:firstLineChars="300"/>
              <w:rPr>
                <w:rFonts w:hint="default"/>
                <w:lang w:val="en-US"/>
              </w:rPr>
            </w:pPr>
            <w:r>
              <w:rPr>
                <w:rFonts w:hint="default" w:ascii="Arial" w:hAnsi="Arial" w:eastAsia="宋体" w:cs="Arial"/>
                <w:i w:val="0"/>
                <w:color w:val="000000"/>
                <w:kern w:val="0"/>
                <w:sz w:val="18"/>
                <w:szCs w:val="18"/>
                <w:u w:val="none"/>
                <w:lang w:val="en-US" w:eastAsia="zh-CN" w:bidi="ar"/>
              </w:rPr>
              <w:t>顾客满意度</w:t>
            </w:r>
            <w:r>
              <w:rPr>
                <w:rStyle w:val="24"/>
                <w:rFonts w:eastAsia="宋体"/>
                <w:lang w:val="en-US" w:eastAsia="zh-CN" w:bidi="ar"/>
              </w:rPr>
              <w:t>90%</w:t>
            </w:r>
            <w:r>
              <w:rPr>
                <w:rStyle w:val="24"/>
                <w:rFonts w:hint="eastAsia"/>
                <w:lang w:val="en-US" w:eastAsia="zh-CN" w:bidi="ar"/>
              </w:rPr>
              <w:t xml:space="preserve">  实测  98%</w:t>
            </w:r>
          </w:p>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2020年11</w:t>
            </w:r>
            <w:r>
              <w:rPr>
                <w:rFonts w:hint="eastAsia" w:ascii="宋体" w:hAnsi="宋体"/>
                <w:szCs w:val="21"/>
              </w:rPr>
              <w:t>月《部门质量目标完成情况统计表》对部门目标进行考核，</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办公区面积</w:t>
            </w:r>
            <w:r>
              <w:rPr>
                <w:rFonts w:hint="eastAsia" w:ascii="宋体" w:hAnsi="宋体"/>
                <w:color w:val="auto"/>
                <w:sz w:val="21"/>
                <w:szCs w:val="21"/>
                <w:lang w:val="en-US" w:eastAsia="zh-CN"/>
              </w:rPr>
              <w:t>100</w:t>
            </w:r>
            <w:r>
              <w:rPr>
                <w:rFonts w:hint="eastAsia" w:ascii="宋体" w:hAnsi="宋体"/>
                <w:color w:val="auto"/>
                <w:sz w:val="21"/>
                <w:szCs w:val="21"/>
              </w:rPr>
              <w:t>平方，</w:t>
            </w:r>
            <w:r>
              <w:rPr>
                <w:rFonts w:hint="eastAsia" w:ascii="宋体" w:hAnsi="宋体"/>
                <w:color w:val="auto"/>
                <w:sz w:val="21"/>
                <w:szCs w:val="21"/>
                <w:lang w:val="en-US" w:eastAsia="zh-CN"/>
              </w:rPr>
              <w:t>无库房</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ascii="宋体" w:hAnsi="宋体" w:cs="宋体"/>
                <w:sz w:val="21"/>
                <w:szCs w:val="21"/>
                <w:lang w:val="en-US" w:eastAsia="zh-CN"/>
              </w:rPr>
              <w:t>混凝土</w:t>
            </w:r>
            <w:r>
              <w:rPr>
                <w:rFonts w:hint="eastAsia" w:ascii="宋体" w:hAnsi="宋体" w:cs="宋体"/>
                <w:sz w:val="21"/>
                <w:szCs w:val="21"/>
              </w:rPr>
              <w:t>全自动生产线、</w:t>
            </w:r>
            <w:r>
              <w:rPr>
                <w:rFonts w:hint="eastAsia" w:ascii="宋体" w:hAnsi="宋体" w:cs="宋体"/>
                <w:sz w:val="21"/>
                <w:szCs w:val="21"/>
                <w:lang w:val="en-US" w:eastAsia="zh-CN"/>
              </w:rPr>
              <w:t>混凝土</w:t>
            </w:r>
            <w:r>
              <w:rPr>
                <w:rFonts w:hint="eastAsia" w:ascii="宋体" w:hAnsi="宋体" w:cs="宋体"/>
                <w:sz w:val="21"/>
                <w:szCs w:val="21"/>
              </w:rPr>
              <w:t>搅拌机等</w:t>
            </w:r>
            <w:r>
              <w:rPr>
                <w:rFonts w:hint="eastAsia" w:ascii="宋体" w:hAnsi="宋体"/>
                <w:sz w:val="21"/>
                <w:szCs w:val="21"/>
              </w:rPr>
              <w:t>，可以满足生产需要。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4.抽查设施保养记录，采用《设备日常维护保养记录》进行记录。</w:t>
            </w:r>
          </w:p>
          <w:p>
            <w:pPr>
              <w:spacing w:line="360" w:lineRule="auto"/>
              <w:jc w:val="left"/>
              <w:rPr>
                <w:rFonts w:hint="eastAsia" w:ascii="宋体" w:hAnsi="宋体"/>
                <w:sz w:val="21"/>
                <w:szCs w:val="21"/>
              </w:rPr>
            </w:pPr>
            <w:r>
              <w:rPr>
                <w:rFonts w:hint="eastAsia" w:ascii="宋体" w:hAnsi="宋体"/>
                <w:sz w:val="21"/>
                <w:szCs w:val="21"/>
              </w:rPr>
              <w:t>4、支持性服务，</w:t>
            </w:r>
            <w:r>
              <w:rPr>
                <w:rFonts w:hint="eastAsia" w:ascii="宋体" w:hAnsi="宋体"/>
                <w:sz w:val="21"/>
                <w:szCs w:val="21"/>
                <w:lang w:eastAsia="zh-CN"/>
              </w:rPr>
              <w:t>公司有自己的运输车辆，</w:t>
            </w:r>
            <w:r>
              <w:rPr>
                <w:rFonts w:hint="eastAsia" w:ascii="宋体" w:hAnsi="宋体"/>
                <w:sz w:val="21"/>
                <w:szCs w:val="21"/>
              </w:rPr>
              <w:t>产品运输选用公司送货方式。公司未建立信息管理系统用于生产和服务。</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585" w:type="dxa"/>
          </w:tcP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rPr>
                <w:szCs w:val="21"/>
              </w:rPr>
            </w:pPr>
            <w:r>
              <w:rPr>
                <w:rFonts w:hint="eastAsia"/>
                <w:szCs w:val="21"/>
              </w:rPr>
              <w:t>主要工作场所为公司办公场所，查看：</w:t>
            </w:r>
          </w:p>
          <w:p>
            <w:pPr>
              <w:rPr>
                <w:szCs w:val="21"/>
              </w:rPr>
            </w:pPr>
            <w:r>
              <w:rPr>
                <w:rFonts w:hint="eastAsia"/>
                <w:szCs w:val="21"/>
              </w:rPr>
              <w:t>1、办公现场环境整洁，秩序良好。</w:t>
            </w:r>
          </w:p>
          <w:p>
            <w:pPr>
              <w:rPr>
                <w:szCs w:val="21"/>
              </w:rPr>
            </w:pPr>
            <w:r>
              <w:rPr>
                <w:rFonts w:hint="eastAsia"/>
                <w:szCs w:val="21"/>
              </w:rPr>
              <w:t>2、办公区内有消防器材，有效期内。</w:t>
            </w:r>
          </w:p>
          <w:p>
            <w:pPr>
              <w:rPr>
                <w:rFonts w:hint="eastAsia"/>
                <w:szCs w:val="21"/>
              </w:rPr>
            </w:pPr>
            <w:r>
              <w:rPr>
                <w:rFonts w:hint="eastAsia"/>
                <w:szCs w:val="21"/>
              </w:rPr>
              <w:t>3、办公设备放置合理整齐。</w:t>
            </w:r>
          </w:p>
          <w:p>
            <w:pPr>
              <w:pStyle w:val="2"/>
            </w:pPr>
            <w:r>
              <w:rPr>
                <w:rFonts w:hint="eastAsia"/>
                <w:szCs w:val="21"/>
              </w:rPr>
              <w:t>工作环境可满足需要。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公司主要产品：</w:t>
            </w:r>
            <w:bookmarkStart w:id="0" w:name="审核范围"/>
            <w:r>
              <w:rPr>
                <w:rFonts w:hint="eastAsia" w:ascii="宋体" w:hAnsi="宋体"/>
                <w:szCs w:val="21"/>
              </w:rPr>
              <w:t>实验室耗材、实验仪器设备、化学试剂和化学原料的销售（涉及法律法规行政许可要求的产品除外）</w:t>
            </w:r>
            <w:bookmarkEnd w:id="0"/>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公司产品执行标准：</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GB/T6684-2002  化学试剂 30%过氧化氢 </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GB/T678  化学试剂 乙醇（无水乙醇）</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HG/T2892-2010    化学试剂 异丙醇</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 676-2007 化学试剂 乙酸(冰醋酸)</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Q/STXH404-2018  对甲苯磺酸</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GB/T16983-1997  化学试剂 二氯甲烷</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 GB/T 629-1997 化学试剂 氢氧化钠</w:t>
            </w:r>
          </w:p>
          <w:p>
            <w:pPr>
              <w:pStyle w:val="2"/>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 GB/T 626-2006  化学试剂硝酸</w:t>
            </w:r>
          </w:p>
          <w:p>
            <w:pP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 GB/T 1401-1998 化学试剂 乙二胺四乙酸二钠</w:t>
            </w:r>
          </w:p>
          <w:p>
            <w:pPr>
              <w:spacing w:line="400" w:lineRule="exact"/>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售后部</w:t>
            </w:r>
            <w:r>
              <w:rPr>
                <w:rFonts w:hint="eastAsia" w:ascii="宋体" w:hAnsi="宋体" w:eastAsia="宋体" w:cs="Times New Roman"/>
                <w:b w:val="0"/>
                <w:bCs w:val="0"/>
                <w:kern w:val="2"/>
                <w:sz w:val="21"/>
                <w:szCs w:val="21"/>
                <w:lang w:val="en-US" w:eastAsia="zh-CN" w:bidi="ar-SA"/>
              </w:rPr>
              <w:t>负责产品实现和服务提供的策划，策划输出的具体结果包括以下内容：</w:t>
            </w:r>
          </w:p>
          <w:p>
            <w:pPr>
              <w:spacing w:line="400" w:lineRule="exact"/>
              <w:ind w:firstLine="420" w:firstLineChars="20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a）确定产品和生产的要求；</w:t>
            </w:r>
            <w:r>
              <w:rPr>
                <w:rFonts w:hint="eastAsia" w:ascii="宋体" w:hAnsi="宋体"/>
                <w:szCs w:val="21"/>
              </w:rPr>
              <w:t>预拌混凝土</w:t>
            </w:r>
            <w:r>
              <w:rPr>
                <w:rFonts w:hint="eastAsia" w:ascii="宋体" w:hAnsi="宋体"/>
                <w:szCs w:val="21"/>
                <w:lang w:val="en-US" w:eastAsia="zh-CN"/>
              </w:rPr>
              <w:t>的相关标准要求</w:t>
            </w:r>
            <w:r>
              <w:rPr>
                <w:rFonts w:hint="eastAsia" w:ascii="宋体" w:hAnsi="宋体" w:eastAsia="宋体" w:cs="Times New Roman"/>
                <w:b w:val="0"/>
                <w:bCs w:val="0"/>
                <w:kern w:val="2"/>
                <w:sz w:val="21"/>
                <w:szCs w:val="21"/>
                <w:lang w:val="en-US" w:eastAsia="zh-CN" w:bidi="ar-SA"/>
              </w:rPr>
              <w:t>、合同、客户技术要求。</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销售过程</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default" w:cs="黑体" w:asciiTheme="minorEastAsia" w:hAnsiTheme="minorEastAsia" w:eastAsiaTheme="minorEastAsia"/>
                <w:color w:val="000000"/>
                <w:szCs w:val="21"/>
                <w:lang w:val="en-US" w:eastAsia="zh-CN"/>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关键工序：</w:t>
            </w:r>
            <w:r>
              <w:rPr>
                <w:rFonts w:hint="eastAsia" w:cs="黑体" w:asciiTheme="minorEastAsia" w:hAnsiTheme="minorEastAsia" w:eastAsiaTheme="minorEastAsia"/>
                <w:color w:val="000000"/>
                <w:szCs w:val="21"/>
                <w:lang w:val="en-US" w:eastAsia="zh-CN"/>
              </w:rPr>
              <w:t>销售过程</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kern w:val="2"/>
                <w:sz w:val="21"/>
                <w:szCs w:val="21"/>
                <w:lang w:val="en-US" w:eastAsia="zh-CN"/>
              </w:rPr>
              <w:t>不适用，</w:t>
            </w:r>
            <w:r>
              <w:rPr>
                <w:rFonts w:hint="eastAsia" w:ascii="宋体" w:hAnsi="宋体"/>
                <w:kern w:val="2"/>
                <w:sz w:val="21"/>
                <w:szCs w:val="21"/>
              </w:rPr>
              <w:t>公司所</w:t>
            </w:r>
            <w:r>
              <w:rPr>
                <w:rFonts w:hint="eastAsia" w:ascii="宋体" w:hAnsi="宋体"/>
                <w:kern w:val="2"/>
                <w:sz w:val="21"/>
                <w:szCs w:val="21"/>
                <w:lang w:val="en-US" w:eastAsia="zh-CN"/>
              </w:rPr>
              <w:t>销售</w:t>
            </w:r>
            <w:r>
              <w:rPr>
                <w:rFonts w:hint="eastAsia" w:ascii="宋体" w:hAnsi="宋体"/>
                <w:kern w:val="2"/>
                <w:sz w:val="21"/>
                <w:szCs w:val="21"/>
              </w:rPr>
              <w:t>的</w:t>
            </w:r>
            <w:r>
              <w:rPr>
                <w:rFonts w:hint="eastAsia" w:ascii="宋体" w:hAnsi="宋体"/>
                <w:sz w:val="21"/>
                <w:szCs w:val="21"/>
                <w:lang w:eastAsia="zh-CN"/>
              </w:rPr>
              <w:t>产品按国家相关</w:t>
            </w:r>
            <w:r>
              <w:rPr>
                <w:rFonts w:hint="eastAsia" w:ascii="宋体" w:hAnsi="宋体"/>
                <w:sz w:val="21"/>
                <w:szCs w:val="21"/>
              </w:rPr>
              <w:t>标准生产，配方成熟</w:t>
            </w:r>
            <w:r>
              <w:rPr>
                <w:rFonts w:hint="eastAsia" w:ascii="宋体" w:hAnsi="宋体"/>
                <w:kern w:val="2"/>
                <w:sz w:val="21"/>
                <w:szCs w:val="21"/>
              </w:rPr>
              <w:t>，工艺</w:t>
            </w:r>
            <w:r>
              <w:rPr>
                <w:rFonts w:hint="eastAsia" w:ascii="宋体" w:hAnsi="宋体"/>
                <w:kern w:val="2"/>
                <w:sz w:val="21"/>
                <w:szCs w:val="21"/>
                <w:lang w:eastAsia="zh-CN"/>
              </w:rPr>
              <w:t>固定</w:t>
            </w:r>
            <w:r>
              <w:rPr>
                <w:rFonts w:hint="eastAsia" w:ascii="宋体" w:hAnsi="宋体"/>
                <w:kern w:val="2"/>
                <w:sz w:val="21"/>
                <w:szCs w:val="21"/>
              </w:rPr>
              <w:t>。</w:t>
            </w:r>
            <w:r>
              <w:rPr>
                <w:rFonts w:hint="eastAsia" w:ascii="宋体" w:hAnsi="宋体"/>
                <w:kern w:val="2"/>
                <w:sz w:val="21"/>
                <w:szCs w:val="21"/>
                <w:lang w:eastAsia="zh-CN"/>
              </w:rPr>
              <w:t>自体系建立以来，配方没有更新过，</w:t>
            </w:r>
            <w:r>
              <w:rPr>
                <w:rFonts w:hint="eastAsia" w:ascii="宋体" w:hAnsi="宋体"/>
                <w:kern w:val="2"/>
                <w:sz w:val="21"/>
                <w:szCs w:val="21"/>
              </w:rPr>
              <w:t>整个生产过程不涉及设计新产品的内容，故8.3不适用。</w:t>
            </w:r>
            <w:r>
              <w:rPr>
                <w:rFonts w:hint="eastAsia" w:ascii="宋体" w:hAnsi="宋体"/>
                <w:kern w:val="2"/>
                <w:sz w:val="21"/>
                <w:szCs w:val="21"/>
                <w:lang w:eastAsia="zh-CN"/>
              </w:rPr>
              <w:t>该条款的不适用</w:t>
            </w:r>
            <w:r>
              <w:rPr>
                <w:rFonts w:hint="eastAsia" w:ascii="宋体" w:hAnsi="宋体"/>
                <w:kern w:val="2"/>
                <w:sz w:val="21"/>
                <w:szCs w:val="21"/>
              </w:rPr>
              <w:t>不影响</w:t>
            </w:r>
            <w:r>
              <w:rPr>
                <w:rFonts w:hint="eastAsia" w:ascii="宋体" w:hAnsi="宋体"/>
                <w:kern w:val="2"/>
                <w:sz w:val="21"/>
                <w:szCs w:val="21"/>
                <w:lang w:eastAsia="zh-CN"/>
              </w:rPr>
              <w:t>提供满足</w:t>
            </w:r>
            <w:r>
              <w:rPr>
                <w:rFonts w:hint="eastAsia" w:ascii="宋体" w:hAnsi="宋体"/>
                <w:kern w:val="2"/>
                <w:sz w:val="21"/>
                <w:szCs w:val="21"/>
              </w:rPr>
              <w:t>顾客</w:t>
            </w:r>
            <w:r>
              <w:rPr>
                <w:rFonts w:hint="eastAsia" w:ascii="宋体" w:hAnsi="宋体"/>
                <w:kern w:val="2"/>
                <w:sz w:val="21"/>
                <w:szCs w:val="21"/>
                <w:lang w:eastAsia="zh-CN"/>
              </w:rPr>
              <w:t>要求及</w:t>
            </w:r>
            <w:r>
              <w:rPr>
                <w:rFonts w:hint="eastAsia" w:ascii="宋体" w:hAnsi="宋体"/>
                <w:kern w:val="2"/>
                <w:sz w:val="21"/>
                <w:szCs w:val="21"/>
              </w:rPr>
              <w:t>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vAlign w:val="top"/>
          </w:tcPr>
          <w:p>
            <w:pPr>
              <w:spacing w:line="360" w:lineRule="auto"/>
              <w:ind w:right="71" w:rightChars="34"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Cs w:val="21"/>
              </w:rPr>
              <w:t>8.6</w:t>
            </w:r>
          </w:p>
        </w:tc>
        <w:tc>
          <w:tcPr>
            <w:tcW w:w="10004" w:type="dxa"/>
            <w:vAlign w:val="top"/>
          </w:tcPr>
          <w:p>
            <w:pPr>
              <w:spacing w:line="400" w:lineRule="exact"/>
              <w:ind w:firstLine="420" w:firstLineChars="200"/>
              <w:rPr>
                <w:rFonts w:hint="default" w:ascii="宋体" w:hAnsi="宋体" w:eastAsia="宋体"/>
                <w:szCs w:val="21"/>
                <w:lang w:val="en-US" w:eastAsia="zh-CN"/>
              </w:rPr>
            </w:pPr>
            <w:r>
              <w:rPr>
                <w:rFonts w:hint="eastAsia"/>
                <w:lang w:val="en-US" w:eastAsia="zh-CN"/>
              </w:rPr>
              <w:t>公司的</w:t>
            </w:r>
            <w:r>
              <w:rPr>
                <w:rFonts w:hint="eastAsia" w:ascii="宋体" w:hAnsi="宋体"/>
                <w:szCs w:val="21"/>
              </w:rPr>
              <w:t>实验室耗材、实验仪器设备</w:t>
            </w:r>
            <w:r>
              <w:rPr>
                <w:rFonts w:hint="eastAsia" w:ascii="宋体" w:hAnsi="宋体"/>
                <w:szCs w:val="21"/>
                <w:lang w:val="en-US" w:eastAsia="zh-CN"/>
              </w:rPr>
              <w:t>开箱检验后，发往客户，</w:t>
            </w:r>
          </w:p>
          <w:p>
            <w:pPr>
              <w:spacing w:line="400" w:lineRule="exact"/>
              <w:ind w:firstLine="420" w:firstLineChars="200"/>
              <w:rPr>
                <w:rFonts w:hint="eastAsia"/>
                <w:lang w:val="en-US" w:eastAsia="zh-CN"/>
              </w:rPr>
            </w:pPr>
            <w:r>
              <w:rPr>
                <w:rFonts w:hint="eastAsia" w:ascii="宋体" w:hAnsi="宋体"/>
                <w:szCs w:val="21"/>
              </w:rPr>
              <w:t>化学试剂和化学原料的销售</w:t>
            </w:r>
            <w:r>
              <w:rPr>
                <w:rFonts w:hint="eastAsia"/>
                <w:lang w:val="en-US" w:eastAsia="zh-CN"/>
              </w:rPr>
              <w:t>销售方式是不存储，厂家直接发往客户，故，采购进货检验即出库检验</w:t>
            </w:r>
          </w:p>
          <w:p>
            <w:pPr>
              <w:pStyle w:val="2"/>
              <w:numPr>
                <w:ilvl w:val="0"/>
                <w:numId w:val="2"/>
              </w:numPr>
              <w:rPr>
                <w:rFonts w:hint="eastAsia"/>
                <w:lang w:val="en-US" w:eastAsia="zh-CN"/>
              </w:rPr>
            </w:pPr>
            <w:r>
              <w:rPr>
                <w:rFonts w:hint="eastAsia" w:ascii="宋体" w:hAnsi="宋体"/>
                <w:szCs w:val="21"/>
                <w:lang w:val="en-US" w:eastAsia="zh-CN"/>
              </w:rPr>
              <w:t>抽仪器检验单</w:t>
            </w:r>
          </w:p>
          <w:p>
            <w:pPr>
              <w:pStyle w:val="2"/>
              <w:numPr>
                <w:ilvl w:val="0"/>
                <w:numId w:val="2"/>
              </w:numPr>
              <w:ind w:left="0" w:leftChars="0" w:firstLine="0" w:firstLineChars="0"/>
              <w:rPr>
                <w:rFonts w:hint="eastAsia" w:ascii="宋体" w:hAnsi="宋体"/>
                <w:szCs w:val="21"/>
              </w:rPr>
            </w:pPr>
            <w:r>
              <w:rPr>
                <w:rFonts w:hint="eastAsia"/>
                <w:lang w:val="en-US" w:eastAsia="zh-CN"/>
              </w:rPr>
              <w:t>抽</w:t>
            </w:r>
            <w:r>
              <w:rPr>
                <w:rFonts w:hint="eastAsia" w:ascii="宋体" w:hAnsi="宋体"/>
                <w:szCs w:val="21"/>
              </w:rPr>
              <w:t>化学试剂和化学原料的销售</w:t>
            </w:r>
          </w:p>
          <w:p>
            <w:pPr>
              <w:pStyle w:val="2"/>
              <w:numPr>
                <w:ilvl w:val="0"/>
                <w:numId w:val="0"/>
              </w:numPr>
              <w:ind w:leftChars="0" w:firstLine="230" w:firstLineChars="100"/>
              <w:rPr>
                <w:rFonts w:hint="default" w:ascii="宋体" w:hAnsi="宋体" w:cs="Times New Roman"/>
                <w:b w:val="0"/>
                <w:bCs w:val="0"/>
                <w:kern w:val="2"/>
                <w:sz w:val="21"/>
                <w:szCs w:val="21"/>
                <w:lang w:val="en-US" w:eastAsia="zh-CN" w:bidi="ar-SA"/>
              </w:rPr>
            </w:pPr>
            <w:r>
              <w:rPr>
                <w:rFonts w:hint="eastAsia"/>
                <w:lang w:val="en-US" w:eastAsia="zh-CN"/>
              </w:rPr>
              <w:t>提供部分危化品检验报告</w:t>
            </w:r>
          </w:p>
          <w:p>
            <w:pPr>
              <w:pStyle w:val="2"/>
              <w:rPr>
                <w:rFonts w:hint="default"/>
                <w:lang w:val="en-US" w:eastAsia="zh-CN"/>
              </w:rPr>
            </w:pP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Cs w:val="21"/>
              </w:rPr>
              <w:t>不合格输出的控制</w:t>
            </w:r>
          </w:p>
        </w:tc>
        <w:tc>
          <w:tcPr>
            <w:tcW w:w="960" w:type="dxa"/>
            <w:vAlign w:val="top"/>
          </w:tcPr>
          <w:p>
            <w:pPr>
              <w:rPr>
                <w:rFonts w:hint="eastAsia" w:ascii="宋体" w:hAnsi="宋体" w:eastAsia="宋体" w:cs="宋体"/>
                <w:b/>
                <w:kern w:val="2"/>
                <w:sz w:val="21"/>
                <w:szCs w:val="21"/>
                <w:lang w:val="en-US" w:eastAsia="zh-CN" w:bidi="ar-SA"/>
              </w:rPr>
            </w:pPr>
            <w:r>
              <w:rPr>
                <w:rFonts w:hint="eastAsia" w:ascii="宋体" w:hAnsi="宋体" w:cs="新宋体"/>
                <w:szCs w:val="21"/>
              </w:rPr>
              <w:t xml:space="preserve">Q8.7 </w:t>
            </w:r>
          </w:p>
        </w:tc>
        <w:tc>
          <w:tcPr>
            <w:tcW w:w="10004" w:type="dxa"/>
            <w:vAlign w:val="top"/>
          </w:tcPr>
          <w:p>
            <w:pPr>
              <w:rPr>
                <w:szCs w:val="21"/>
              </w:rPr>
            </w:pPr>
            <w:r>
              <w:rPr>
                <w:rFonts w:hint="eastAsia"/>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rPr>
                <w:szCs w:val="21"/>
              </w:rPr>
            </w:pPr>
            <w:r>
              <w:rPr>
                <w:rFonts w:hint="eastAsia"/>
                <w:szCs w:val="21"/>
              </w:rPr>
              <w:t>抽不符合记录，企业目前为止未发生不符合事件。</w:t>
            </w:r>
          </w:p>
          <w:p>
            <w:pPr>
              <w:rPr>
                <w:szCs w:val="21"/>
              </w:rPr>
            </w:pPr>
            <w:r>
              <w:rPr>
                <w:rFonts w:hint="eastAsia"/>
                <w:szCs w:val="21"/>
              </w:rPr>
              <w:t>内审过程中发现的不符合已经整改，符合要求。</w:t>
            </w:r>
          </w:p>
          <w:p>
            <w:pPr>
              <w:rPr>
                <w:szCs w:val="21"/>
              </w:rPr>
            </w:pPr>
            <w:r>
              <w:rPr>
                <w:rFonts w:hint="eastAsia"/>
                <w:szCs w:val="21"/>
              </w:rPr>
              <w:t xml:space="preserve">  产品和销售和服务过程监视和测量过程中有导入风险思维，主要有通过加强员工培训，加大监督和检查力度等措施，以达到预防措施的目的。</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 xml:space="preserve"> </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近两年公司里管理服务全等是否有违规被处罚、曝光情况；</w:t>
            </w:r>
          </w:p>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二阶段审核情况</w:t>
            </w:r>
          </w:p>
        </w:tc>
        <w:tc>
          <w:tcPr>
            <w:tcW w:w="960" w:type="dxa"/>
            <w:vAlign w:val="top"/>
          </w:tcPr>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kern w:val="2"/>
                <w:sz w:val="21"/>
                <w:szCs w:val="21"/>
                <w:lang w:val="en-US" w:eastAsia="zh-CN" w:bidi="ar-SA"/>
              </w:rPr>
            </w:pPr>
          </w:p>
        </w:tc>
        <w:tc>
          <w:tcPr>
            <w:tcW w:w="10004" w:type="dxa"/>
            <w:vAlign w:val="top"/>
          </w:tcPr>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经查，</w:t>
            </w:r>
            <w:r>
              <w:rPr>
                <w:rFonts w:hint="eastAsia" w:ascii="宋体" w:hAnsi="宋体" w:eastAsia="宋体" w:cs="宋体"/>
                <w:sz w:val="21"/>
                <w:szCs w:val="21"/>
                <w:lang w:val="zh-CN" w:eastAsia="zh-CN"/>
              </w:rPr>
              <w:t>近两年</w:t>
            </w:r>
            <w:r>
              <w:rPr>
                <w:rFonts w:hint="eastAsia" w:ascii="宋体" w:hAnsi="宋体" w:eastAsia="宋体" w:cs="宋体"/>
                <w:sz w:val="21"/>
                <w:szCs w:val="21"/>
                <w:lang w:val="en-US" w:eastAsia="zh-CN"/>
              </w:rPr>
              <w:t>没有发生</w:t>
            </w:r>
            <w:r>
              <w:rPr>
                <w:rFonts w:hint="eastAsia" w:ascii="宋体" w:hAnsi="宋体" w:eastAsia="宋体" w:cs="宋体"/>
                <w:sz w:val="21"/>
                <w:szCs w:val="21"/>
                <w:lang w:val="zh-CN" w:eastAsia="zh-CN"/>
              </w:rPr>
              <w:t>质量等是否有违规被处罚、曝光情况。</w:t>
            </w:r>
          </w:p>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具备二阶段审核条件，</w:t>
            </w:r>
          </w:p>
          <w:p>
            <w:pPr>
              <w:pStyle w:val="2"/>
              <w:rPr>
                <w:rFonts w:hint="default"/>
                <w:lang w:val="en-US" w:eastAsia="zh-CN"/>
              </w:rPr>
            </w:pPr>
            <w:r>
              <w:rPr>
                <w:rFonts w:hint="eastAsia" w:ascii="宋体" w:hAnsi="宋体" w:cs="宋体"/>
                <w:sz w:val="21"/>
                <w:szCs w:val="21"/>
                <w:lang w:val="en-US" w:eastAsia="zh-CN"/>
              </w:rPr>
              <w:t>二阶段审核重点：销售过程、人力资源过程等</w:t>
            </w:r>
          </w:p>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二阶段审核日期：2020.</w:t>
            </w:r>
            <w:r>
              <w:rPr>
                <w:rFonts w:hint="eastAsia" w:ascii="宋体" w:hAnsi="宋体" w:cs="宋体"/>
                <w:sz w:val="21"/>
                <w:szCs w:val="21"/>
                <w:lang w:val="en-US" w:eastAsia="zh-CN"/>
              </w:rPr>
              <w:t>12.28</w:t>
            </w:r>
            <w:bookmarkStart w:id="1" w:name="_GoBack"/>
            <w:bookmarkEnd w:id="1"/>
          </w:p>
          <w:p>
            <w:pPr>
              <w:keepNext w:val="0"/>
              <w:keepLines w:val="0"/>
              <w:pageBreakBefore w:val="0"/>
              <w:kinsoku/>
              <w:wordWrap/>
              <w:overflowPunct/>
              <w:topLinePunct w:val="0"/>
              <w:autoSpaceDE/>
              <w:autoSpaceDN/>
              <w:bidi w:val="0"/>
              <w:adjustRightInd/>
              <w:snapToGrid w:val="0"/>
              <w:spacing w:line="400" w:lineRule="exact"/>
              <w:ind w:right="0" w:rightChars="0"/>
              <w:outlineLvl w:val="9"/>
              <w:rPr>
                <w:rFonts w:hint="eastAsia" w:ascii="宋体" w:hAnsi="宋体" w:eastAsia="宋体" w:cs="宋体"/>
                <w:kern w:val="2"/>
                <w:sz w:val="21"/>
                <w:szCs w:val="21"/>
                <w:lang w:val="en-US" w:eastAsia="zh-CN" w:bidi="ar-SA"/>
              </w:rPr>
            </w:pPr>
          </w:p>
        </w:tc>
        <w:tc>
          <w:tcPr>
            <w:tcW w:w="1585" w:type="dxa"/>
            <w:vAlign w:val="top"/>
          </w:tcPr>
          <w:p/>
        </w:tc>
      </w:tr>
    </w:tbl>
    <w:p>
      <w:pPr>
        <w:spacing w:line="480" w:lineRule="exact"/>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pStyle w:val="9"/>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9DCB8"/>
    <w:multiLevelType w:val="singleLevel"/>
    <w:tmpl w:val="BAB9DCB8"/>
    <w:lvl w:ilvl="0" w:tentative="0">
      <w:start w:val="1"/>
      <w:numFmt w:val="decimal"/>
      <w:lvlText w:val="%1."/>
      <w:lvlJc w:val="left"/>
      <w:pPr>
        <w:tabs>
          <w:tab w:val="left" w:pos="312"/>
        </w:tabs>
      </w:pPr>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5253B5"/>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410AF5"/>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902C20"/>
    <w:rsid w:val="30AE6613"/>
    <w:rsid w:val="30C911A9"/>
    <w:rsid w:val="30D055A0"/>
    <w:rsid w:val="311E4660"/>
    <w:rsid w:val="3153558D"/>
    <w:rsid w:val="316C505C"/>
    <w:rsid w:val="31900ED3"/>
    <w:rsid w:val="31B3629F"/>
    <w:rsid w:val="32025D89"/>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7019B"/>
    <w:rsid w:val="40211092"/>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8A3294"/>
    <w:rsid w:val="4FAC5301"/>
    <w:rsid w:val="4FE03365"/>
    <w:rsid w:val="50015CFF"/>
    <w:rsid w:val="5046077E"/>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BC0154B"/>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7E2DDE"/>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646464"/>
      <w:u w:val="none"/>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4"/>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info-content-text"/>
    <w:qFormat/>
    <w:uiPriority w:val="0"/>
  </w:style>
  <w:style w:type="character" w:customStyle="1" w:styleId="24">
    <w:name w:val="font11"/>
    <w:basedOn w:val="14"/>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2020-12-30T13:13:17Z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