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0705-2020-QEO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海南万象能源科技有限公司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Hainan Wanxiang Energy Technology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海南省老城高新技术产业示范区海南生态软件园A17幢一层4001</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571924</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Room 4001, floor 1, building A17, Hainan eco-software Park, Laocheng District high-tech industrial demonstration area, Hainan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海口市秀英区南海大道药谷四路18号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570300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No. 18, No. 4, Yaogu Road, Nanhai Avenue, Xiuying district, Haikou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91469027MA5RHQ6TX5</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0898-65661818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王禄柳</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李娜</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Q：资质范围内的高低压开关成套设备的生产和销售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E：资质范围内的高低压开关成套设备的生产及销售所涉及场所的相关环境管理活动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O：资质范围内的高低压开关成套设备的生产及销售所涉及场所的相关职业健康安全管理活动</w:t>
      </w:r>
      <w:bookmarkEnd w:id="15"/>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r>
        <w:rPr>
          <w:rFonts w:ascii="微软雅黑" w:hAnsi="微软雅黑" w:eastAsia="微软雅黑" w:cs="微软雅黑"/>
          <w:i w:val="0"/>
          <w:caps w:val="0"/>
          <w:color w:val="333333"/>
          <w:spacing w:val="0"/>
          <w:sz w:val="24"/>
          <w:szCs w:val="24"/>
          <w:shd w:val="clear" w:fill="F5F5F5"/>
        </w:rPr>
        <w:t>Production and sales of high and low voltage switchgear complete sets of equipment within the scope of qualification</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r>
        <w:rPr>
          <w:rFonts w:ascii="微软雅黑" w:hAnsi="微软雅黑" w:eastAsia="微软雅黑" w:cs="微软雅黑"/>
          <w:i w:val="0"/>
          <w:caps w:val="0"/>
          <w:color w:val="333333"/>
          <w:spacing w:val="0"/>
          <w:sz w:val="24"/>
          <w:szCs w:val="24"/>
          <w:shd w:val="clear" w:fill="F5F5F5"/>
        </w:rPr>
        <w:t>The production and sale of high and low voltage switchgear sets within the scope of qualification involves site-related environmental management activities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r>
        <w:rPr>
          <w:rFonts w:ascii="微软雅黑" w:hAnsi="微软雅黑" w:eastAsia="微软雅黑" w:cs="微软雅黑"/>
          <w:i w:val="0"/>
          <w:caps w:val="0"/>
          <w:color w:val="333333"/>
          <w:spacing w:val="0"/>
          <w:sz w:val="24"/>
          <w:szCs w:val="24"/>
          <w:shd w:val="clear" w:fill="F5F5F5"/>
        </w:rPr>
        <w:t>The production and sale of high and low voltage switchgear sets within the scope of qualification involves the relevant occupational health and safety management activities of the premises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2020.12.28</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7C6936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132</TotalTime>
  <ScaleCrop>false</ScaleCrop>
  <LinksUpToDate>false</LinksUpToDate>
  <CharactersWithSpaces>803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2020-12-27T14:24:53Z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