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受审核部门：管理层(含安全事务代表)          主管领导：王禄柳  管理者代表：李学鸿</w:t>
            </w:r>
            <w:r>
              <w:rPr>
                <w:rFonts w:ascii="宋体" w:hAnsi="宋体" w:cs="宋体"/>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审核时间：2020年12月28日 上午</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eastAsia" w:ascii="宋体" w:hAnsi="宋体" w:cs="宋体"/>
                <w:szCs w:val="21"/>
              </w:rPr>
            </w:pPr>
            <w:r>
              <w:rPr>
                <w:rFonts w:hint="eastAsia" w:ascii="宋体" w:hAnsi="宋体" w:cs="宋体"/>
                <w:szCs w:val="21"/>
              </w:rPr>
              <w:t>审核条款：</w:t>
            </w:r>
          </w:p>
          <w:p>
            <w:pPr>
              <w:pStyle w:val="2"/>
              <w:rPr>
                <w:rFonts w:ascii="宋体" w:hAnsi="宋体" w:cs="宋体"/>
                <w:szCs w:val="21"/>
              </w:rPr>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 xml:space="preserve"> 4.3</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p>
            <w:pPr>
              <w:pStyle w:val="2"/>
            </w:pPr>
            <w:r>
              <w:rPr>
                <w:rFonts w:hint="eastAsia"/>
              </w:rPr>
              <w:t>Q：资质范围内的高低压开关成套设备的生产和销售</w:t>
            </w:r>
          </w:p>
          <w:p>
            <w:pPr>
              <w:pStyle w:val="2"/>
            </w:pPr>
            <w:r>
              <w:rPr>
                <w:rFonts w:hint="eastAsia"/>
              </w:rPr>
              <w:t>E：资质范围内的高低压开关成套设备的生产及销售所涉及场所的相关环境管理活动</w:t>
            </w:r>
          </w:p>
          <w:p>
            <w:pPr>
              <w:spacing w:line="280" w:lineRule="exact"/>
            </w:pPr>
            <w:r>
              <w:rPr>
                <w:rFonts w:hint="eastAsia"/>
              </w:rPr>
              <w:t>O：资质范围内的高低压开关成套设备的生产及销售所涉及场所的相关职业健康安全管理活动</w:t>
            </w:r>
          </w:p>
          <w:p>
            <w:pPr>
              <w:spacing w:line="280" w:lineRule="exact"/>
              <w:rPr>
                <w:rFonts w:ascii="宋体" w:hAnsi="宋体" w:cs="宋体"/>
                <w:szCs w:val="21"/>
              </w:rPr>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4.4</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spacing w:line="280" w:lineRule="exact"/>
              <w:ind w:firstLine="420" w:firstLineChars="200"/>
              <w:rPr>
                <w:rFonts w:ascii="宋体" w:hAnsi="宋体" w:cs="宋体"/>
                <w:szCs w:val="21"/>
              </w:rPr>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宋体" w:hAnsi="宋体" w:cs="宋体"/>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宋体" w:hAnsi="宋体" w:cs="宋体"/>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pStyle w:val="2"/>
              <w:ind w:firstLine="690" w:firstLineChars="300"/>
            </w:pPr>
            <w:r>
              <w:rPr>
                <w:rFonts w:hint="eastAsia"/>
              </w:rPr>
              <w:t>顾客至上，质量第一，全员参与，创新共赢</w:t>
            </w:r>
          </w:p>
          <w:p>
            <w:pPr>
              <w:pStyle w:val="2"/>
            </w:pPr>
            <w:r>
              <w:rPr>
                <w:rFonts w:hint="eastAsia"/>
              </w:rPr>
              <w:t xml:space="preserve">     节能减排，绿色生产，安全第一，以人为本</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公司以质量、环境、职业健康安全标准为基础，结合公司实际特制定管理方针。与李学鸿进行交谈，李学鸿对方针内涵的理解较深刻。方针能为制定目标提供框架，方针基本符合标准的要求。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pStyle w:val="2"/>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管理目标涉及环境、职业健康安全，具体为：</w:t>
            </w:r>
          </w:p>
          <w:p>
            <w:pPr>
              <w:pStyle w:val="2"/>
            </w:pPr>
            <w:r>
              <w:rPr>
                <w:rFonts w:hint="eastAsia"/>
              </w:rPr>
              <w:t>1、环境管理目标：</w:t>
            </w:r>
          </w:p>
          <w:p>
            <w:pPr>
              <w:pStyle w:val="2"/>
            </w:pPr>
            <w:r>
              <w:rPr>
                <w:rFonts w:hint="eastAsia"/>
              </w:rPr>
              <w:t>a)危废物守法排放100%;</w:t>
            </w:r>
          </w:p>
          <w:p>
            <w:pPr>
              <w:pStyle w:val="2"/>
            </w:pPr>
            <w:r>
              <w:rPr>
                <w:rFonts w:hint="eastAsia"/>
              </w:rPr>
              <w:t>b)噪声排放达标率100%;</w:t>
            </w:r>
          </w:p>
          <w:p>
            <w:pPr>
              <w:pStyle w:val="2"/>
            </w:pPr>
            <w:r>
              <w:rPr>
                <w:rFonts w:hint="eastAsia"/>
              </w:rPr>
              <w:t>c)火灾的年发生率0;</w:t>
            </w:r>
          </w:p>
          <w:p>
            <w:pPr>
              <w:pStyle w:val="2"/>
            </w:pPr>
            <w:r>
              <w:rPr>
                <w:rFonts w:hint="eastAsia"/>
              </w:rPr>
              <w:t>2、职业健康安全管理目标：</w:t>
            </w:r>
          </w:p>
          <w:p>
            <w:pPr>
              <w:pStyle w:val="2"/>
            </w:pPr>
            <w:r>
              <w:rPr>
                <w:rFonts w:hint="eastAsia"/>
              </w:rPr>
              <w:t>a)机械伤害事故轻微伤发生率≤2人次/年;重伤事故发生率0;</w:t>
            </w:r>
          </w:p>
          <w:p>
            <w:pPr>
              <w:pStyle w:val="2"/>
            </w:pPr>
            <w:r>
              <w:rPr>
                <w:rFonts w:hint="eastAsia"/>
              </w:rPr>
              <w:t>b)杜绝火灾的发生0;</w:t>
            </w:r>
          </w:p>
          <w:p>
            <w:pPr>
              <w:pStyle w:val="2"/>
            </w:pPr>
            <w:r>
              <w:rPr>
                <w:rFonts w:hint="eastAsia"/>
              </w:rPr>
              <w:t>c)杜绝触电事故的发生0。</w:t>
            </w:r>
          </w:p>
          <w:p>
            <w:pPr>
              <w:spacing w:line="280" w:lineRule="exact"/>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审核：李学鸿   批准：王禄柳</w:t>
            </w:r>
          </w:p>
          <w:p>
            <w:pPr>
              <w:spacing w:line="280" w:lineRule="exact"/>
              <w:ind w:firstLine="420" w:firstLineChars="200"/>
              <w:rPr>
                <w:rFonts w:ascii="宋体" w:hAnsi="宋体" w:cs="宋体"/>
                <w:color w:val="FF0000"/>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tcPr>
          <w:p>
            <w:pPr>
              <w:spacing w:line="280" w:lineRule="exact"/>
              <w:rPr>
                <w:szCs w:val="21"/>
              </w:rPr>
            </w:pPr>
            <w:r>
              <w:rPr>
                <w:szCs w:val="21"/>
              </w:rPr>
              <w:t>E/S</w:t>
            </w:r>
            <w:r>
              <w:rPr>
                <w:rFonts w:hint="eastAsia"/>
                <w:szCs w:val="21"/>
              </w:rPr>
              <w:t>7.1</w:t>
            </w:r>
          </w:p>
          <w:p>
            <w:pPr>
              <w:spacing w:line="280" w:lineRule="exact"/>
              <w:rPr>
                <w:rFonts w:asciiTheme="minorEastAsia" w:hAnsiTheme="minorEastAsia" w:eastAsiaTheme="minorEastAsia" w:cstheme="minorEastAsia"/>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查公司配备的人力资源，公司总人数15人.</w:t>
            </w:r>
            <w:r>
              <w:rPr>
                <w:rFonts w:hint="eastAsia" w:ascii="华文中宋" w:hAnsi="华文中宋" w:eastAsia="华文中宋" w:cs="宋体"/>
                <w:color w:val="000000"/>
              </w:rPr>
              <w:t xml:space="preserve"> </w:t>
            </w:r>
            <w:r>
              <w:rPr>
                <w:rFonts w:hint="eastAsia" w:ascii="宋体" w:hAnsi="宋体" w:cs="宋体"/>
                <w:szCs w:val="21"/>
              </w:rPr>
              <w:t>公司综合部负责根据各部门职责及工作范围，按照要求为质量/环境/职业健康安全管理体系的有效实施、运行提供所需要的人员</w:t>
            </w:r>
          </w:p>
          <w:p>
            <w:pPr>
              <w:spacing w:line="280" w:lineRule="exact"/>
              <w:ind w:firstLine="420" w:firstLineChars="200"/>
              <w:rPr>
                <w:rFonts w:asciiTheme="minorEastAsia" w:hAnsiTheme="minorEastAsia" w:eastAsiaTheme="minorEastAsia" w:cstheme="minorEastAsia"/>
                <w:color w:val="FF0000"/>
                <w:szCs w:val="21"/>
              </w:rPr>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pPr>
            <w:r>
              <w:rPr>
                <w:rFonts w:hint="eastAsia"/>
              </w:rPr>
              <w:t>公司编制并实施《管理评审控制程序》，规定管理评审每年至少进行一次，由王禄柳总经理决定是否增加管理评审的频次。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评审时间：计划2020年11月28日日进行，初审无间隔要求，评审方式：会议评审， 拟稿行政部  ，签发：王禄柳，参加人员包括公司总经理、管代、员工代表、各部门负责人，计划中明确了评审内容和资料准备要求。</w:t>
            </w:r>
          </w:p>
          <w:p>
            <w:pPr>
              <w:spacing w:line="280" w:lineRule="exact"/>
              <w:ind w:firstLine="420" w:firstLineChars="200"/>
              <w:rPr>
                <w:rFonts w:ascii="宋体" w:hAnsi="宋体" w:cs="宋体"/>
                <w:color w:val="FF0000"/>
                <w:szCs w:val="21"/>
              </w:rPr>
            </w:pPr>
          </w:p>
        </w:tc>
        <w:tc>
          <w:tcPr>
            <w:tcW w:w="646" w:type="dxa"/>
          </w:tcPr>
          <w:p>
            <w:pPr>
              <w:rPr>
                <w:rFonts w:ascii="宋体" w:hAnsi="宋体" w:cs="宋体"/>
                <w:szCs w:val="21"/>
              </w:rPr>
            </w:pPr>
          </w:p>
        </w:tc>
      </w:tr>
    </w:tbl>
    <w:p>
      <w:bookmarkStart w:id="0" w:name="_GoBack"/>
      <w:bookmarkEnd w:id="0"/>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07590C"/>
    <w:rsid w:val="001464D8"/>
    <w:rsid w:val="00151DBD"/>
    <w:rsid w:val="001A2D7F"/>
    <w:rsid w:val="001C5D0F"/>
    <w:rsid w:val="002619E9"/>
    <w:rsid w:val="002707C4"/>
    <w:rsid w:val="002A285C"/>
    <w:rsid w:val="00333894"/>
    <w:rsid w:val="00337922"/>
    <w:rsid w:val="00340867"/>
    <w:rsid w:val="0036008D"/>
    <w:rsid w:val="00380837"/>
    <w:rsid w:val="00386B12"/>
    <w:rsid w:val="003A198A"/>
    <w:rsid w:val="003C14B8"/>
    <w:rsid w:val="004041C6"/>
    <w:rsid w:val="00410914"/>
    <w:rsid w:val="004D2A24"/>
    <w:rsid w:val="005001B9"/>
    <w:rsid w:val="00507D64"/>
    <w:rsid w:val="00536930"/>
    <w:rsid w:val="00552276"/>
    <w:rsid w:val="00564E53"/>
    <w:rsid w:val="00575184"/>
    <w:rsid w:val="005B1D35"/>
    <w:rsid w:val="005B77FF"/>
    <w:rsid w:val="005C526D"/>
    <w:rsid w:val="005D0980"/>
    <w:rsid w:val="00630243"/>
    <w:rsid w:val="0064291E"/>
    <w:rsid w:val="00644FE2"/>
    <w:rsid w:val="006726F0"/>
    <w:rsid w:val="00675E37"/>
    <w:rsid w:val="0067640C"/>
    <w:rsid w:val="0069544D"/>
    <w:rsid w:val="006E678B"/>
    <w:rsid w:val="006F1302"/>
    <w:rsid w:val="0070453A"/>
    <w:rsid w:val="0070658E"/>
    <w:rsid w:val="007135CA"/>
    <w:rsid w:val="007757F3"/>
    <w:rsid w:val="007A51D1"/>
    <w:rsid w:val="007D0507"/>
    <w:rsid w:val="007D083E"/>
    <w:rsid w:val="007D4119"/>
    <w:rsid w:val="007E6AEB"/>
    <w:rsid w:val="00803203"/>
    <w:rsid w:val="008078E9"/>
    <w:rsid w:val="00836130"/>
    <w:rsid w:val="0086370B"/>
    <w:rsid w:val="00866321"/>
    <w:rsid w:val="0087425B"/>
    <w:rsid w:val="00886C4E"/>
    <w:rsid w:val="008973EE"/>
    <w:rsid w:val="008C3FCB"/>
    <w:rsid w:val="00916208"/>
    <w:rsid w:val="00917D29"/>
    <w:rsid w:val="00955278"/>
    <w:rsid w:val="009662A2"/>
    <w:rsid w:val="00971600"/>
    <w:rsid w:val="00986D9A"/>
    <w:rsid w:val="009973B4"/>
    <w:rsid w:val="00997D9E"/>
    <w:rsid w:val="009A18F4"/>
    <w:rsid w:val="009A2DE9"/>
    <w:rsid w:val="009C28C1"/>
    <w:rsid w:val="009F7EED"/>
    <w:rsid w:val="00A3155D"/>
    <w:rsid w:val="00A53A38"/>
    <w:rsid w:val="00AF0AAB"/>
    <w:rsid w:val="00AF7FA9"/>
    <w:rsid w:val="00B42F82"/>
    <w:rsid w:val="00B740E7"/>
    <w:rsid w:val="00B74282"/>
    <w:rsid w:val="00B87446"/>
    <w:rsid w:val="00BD4472"/>
    <w:rsid w:val="00BF597E"/>
    <w:rsid w:val="00C20DE5"/>
    <w:rsid w:val="00C51A36"/>
    <w:rsid w:val="00C55075"/>
    <w:rsid w:val="00C55228"/>
    <w:rsid w:val="00C952AC"/>
    <w:rsid w:val="00CA2EF7"/>
    <w:rsid w:val="00CE315A"/>
    <w:rsid w:val="00D06F59"/>
    <w:rsid w:val="00D70DF1"/>
    <w:rsid w:val="00D8388C"/>
    <w:rsid w:val="00DF7C24"/>
    <w:rsid w:val="00E17EC8"/>
    <w:rsid w:val="00E249CB"/>
    <w:rsid w:val="00E33F49"/>
    <w:rsid w:val="00E46B3F"/>
    <w:rsid w:val="00E743B5"/>
    <w:rsid w:val="00EB0164"/>
    <w:rsid w:val="00EB66A9"/>
    <w:rsid w:val="00EC19AF"/>
    <w:rsid w:val="00ED0F62"/>
    <w:rsid w:val="00ED5AE9"/>
    <w:rsid w:val="00F57EC3"/>
    <w:rsid w:val="00F734CC"/>
    <w:rsid w:val="00F82BD2"/>
    <w:rsid w:val="00F8620F"/>
    <w:rsid w:val="00F92151"/>
    <w:rsid w:val="00FB0841"/>
    <w:rsid w:val="00FB37D6"/>
    <w:rsid w:val="00FD3D3D"/>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DE758B3"/>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9">
    <w:name w:val="页眉 Char"/>
    <w:basedOn w:val="8"/>
    <w:link w:val="5"/>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iPriority w:val="99"/>
    <w:pPr>
      <w:ind w:left="720"/>
      <w:contextualSpacing/>
    </w:pPr>
  </w:style>
  <w:style w:type="character" w:customStyle="1" w:styleId="14">
    <w:name w:val="副标题 Char"/>
    <w:link w:val="6"/>
    <w:uiPriority w:val="11"/>
    <w:rPr>
      <w:rFonts w:ascii="Cambria" w:hAnsi="Cambria"/>
      <w:b/>
      <w:bCs/>
      <w:kern w:val="28"/>
      <w:sz w:val="32"/>
      <w:szCs w:val="32"/>
    </w:rPr>
  </w:style>
  <w:style w:type="character" w:customStyle="1" w:styleId="15">
    <w:name w:val="副标题 Char1"/>
    <w:basedOn w:val="8"/>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6</Pages>
  <Words>444</Words>
  <Characters>2537</Characters>
  <Lines>21</Lines>
  <Paragraphs>5</Paragraphs>
  <TotalTime>293</TotalTime>
  <ScaleCrop>false</ScaleCrop>
  <LinksUpToDate>false</LinksUpToDate>
  <CharactersWithSpaces>2976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2020-12-29T13:00:51Z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