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2</w:t>
      </w:r>
    </w:p>
    <w:tbl>
      <w:tblPr>
        <w:tblStyle w:val="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04"/>
        <w:gridCol w:w="1125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004"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251" w:type="dxa"/>
            <w:vAlign w:val="center"/>
          </w:tcPr>
          <w:p>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受审核部门：综合部     主管领导：</w:t>
            </w:r>
            <w:r>
              <w:rPr>
                <w:rFonts w:hint="eastAsia" w:asciiTheme="minorEastAsia" w:hAnsiTheme="minorEastAsia" w:eastAsiaTheme="minorEastAsia" w:cstheme="minorEastAsia"/>
                <w:color w:val="auto"/>
                <w:szCs w:val="21"/>
                <w:highlight w:val="none"/>
                <w:lang w:eastAsia="zh-CN"/>
              </w:rPr>
              <w:t>薛宇航</w:t>
            </w:r>
            <w:r>
              <w:rPr>
                <w:rFonts w:hint="eastAsia" w:asciiTheme="minorEastAsia" w:hAnsiTheme="minorEastAsia" w:eastAsiaTheme="minorEastAsia" w:cstheme="minorEastAsia"/>
                <w:color w:val="auto"/>
                <w:szCs w:val="21"/>
                <w:highlight w:val="none"/>
              </w:rPr>
              <w:t xml:space="preserve">     陪同人员：</w:t>
            </w:r>
            <w:r>
              <w:rPr>
                <w:rFonts w:hint="eastAsia" w:asciiTheme="minorEastAsia" w:hAnsiTheme="minorEastAsia" w:eastAsiaTheme="minorEastAsia" w:cstheme="minorEastAsia"/>
                <w:color w:val="auto"/>
                <w:szCs w:val="21"/>
                <w:highlight w:val="none"/>
                <w:lang w:eastAsia="zh-CN"/>
              </w:rPr>
              <w:t>高翡</w:t>
            </w:r>
          </w:p>
        </w:tc>
        <w:tc>
          <w:tcPr>
            <w:tcW w:w="655"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1004" w:type="dxa"/>
            <w:vMerge w:val="continue"/>
            <w:vAlign w:val="center"/>
          </w:tcPr>
          <w:p>
            <w:pPr>
              <w:spacing w:line="360" w:lineRule="auto"/>
              <w:rPr>
                <w:rFonts w:hint="eastAsia" w:asciiTheme="minorEastAsia" w:hAnsiTheme="minorEastAsia" w:eastAsiaTheme="minorEastAsia" w:cstheme="minorEastAsia"/>
                <w:szCs w:val="21"/>
              </w:rPr>
            </w:pPr>
          </w:p>
        </w:tc>
        <w:tc>
          <w:tcPr>
            <w:tcW w:w="11251" w:type="dxa"/>
            <w:vAlign w:val="center"/>
          </w:tcPr>
          <w:p>
            <w:pPr>
              <w:spacing w:before="12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审核员：王志慧                审核时间：2020年1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月2</w:t>
            </w:r>
            <w:r>
              <w:rPr>
                <w:rFonts w:hint="eastAsia" w:asciiTheme="minorEastAsia" w:hAnsiTheme="minorEastAsia" w:eastAsiaTheme="minorEastAsia" w:cstheme="minorEastAsia"/>
                <w:color w:val="auto"/>
                <w:szCs w:val="21"/>
                <w:highlight w:val="none"/>
                <w:lang w:val="en-US" w:eastAsia="zh-CN"/>
              </w:rPr>
              <w:t>0-21</w:t>
            </w:r>
            <w:r>
              <w:rPr>
                <w:rFonts w:hint="eastAsia" w:asciiTheme="minorEastAsia" w:hAnsiTheme="minorEastAsia" w:eastAsiaTheme="minorEastAsia" w:cstheme="minorEastAsia"/>
                <w:color w:val="auto"/>
                <w:szCs w:val="21"/>
                <w:highlight w:val="none"/>
              </w:rPr>
              <w:t>日</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1004" w:type="dxa"/>
            <w:vMerge w:val="continue"/>
            <w:vAlign w:val="center"/>
          </w:tcPr>
          <w:p>
            <w:pPr>
              <w:spacing w:line="360" w:lineRule="auto"/>
              <w:rPr>
                <w:rFonts w:hint="eastAsia" w:asciiTheme="minorEastAsia" w:hAnsiTheme="minorEastAsia" w:eastAsiaTheme="minorEastAsia" w:cstheme="minorEastAsia"/>
                <w:szCs w:val="21"/>
              </w:rPr>
            </w:pPr>
          </w:p>
        </w:tc>
        <w:tc>
          <w:tcPr>
            <w:tcW w:w="11251"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审核条款：</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E/O:6.1.2环境因素/危险源的辨识与评价、6.1.3合规义务、6.1.4措施的策划、8.1运行策划和控制、9.1监视、测量、分析和评价（9.1.1总则、9.1.2合规性评价）、8.2应急准备和响应</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专业条款审核有李波的专业支持）</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1004" w:type="dxa"/>
            <w:vAlign w:val="top"/>
          </w:tcPr>
          <w:p>
            <w:pP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EO:6.1.2/6.1.4</w:t>
            </w:r>
          </w:p>
        </w:tc>
        <w:tc>
          <w:tcPr>
            <w:tcW w:w="11251" w:type="dxa"/>
            <w:vAlign w:val="top"/>
          </w:tcPr>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编制《 环境因素识别和评价控制程序》SXCS/CX-C-03、《危险源辨识、风险评价和控制措施的确定》SXCS/CX-C-04、《风险和机遇分析、评价和应对措施的确定程序》SXCS/CX-C-15等程序，按照相关程序执行</w:t>
            </w:r>
          </w:p>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提供《环境因素识别排查表》识别了办公区、</w:t>
            </w:r>
            <w:r>
              <w:rPr>
                <w:rFonts w:hint="eastAsia" w:ascii="宋体" w:hAnsi="宋体"/>
                <w:szCs w:val="21"/>
              </w:rPr>
              <w:t>运营管理部门</w:t>
            </w:r>
            <w:r>
              <w:rPr>
                <w:rFonts w:hint="eastAsia" w:ascii="宋体" w:hAnsi="宋体" w:cs="Times New Roman"/>
                <w:szCs w:val="21"/>
                <w:lang w:val="en-US" w:eastAsia="zh-CN"/>
              </w:rPr>
              <w:t>、</w:t>
            </w:r>
            <w:r>
              <w:rPr>
                <w:rFonts w:hint="eastAsia" w:ascii="宋体" w:hAnsi="宋体" w:cs="Times New Roman"/>
                <w:szCs w:val="21"/>
              </w:rPr>
              <w:t>供水厂运营过程</w:t>
            </w:r>
            <w:r>
              <w:rPr>
                <w:rFonts w:hint="eastAsia" w:ascii="宋体" w:hAnsi="宋体" w:cs="Times New Roman"/>
                <w:szCs w:val="21"/>
                <w:lang w:eastAsia="zh-CN"/>
              </w:rPr>
              <w:t>、</w:t>
            </w:r>
            <w:r>
              <w:rPr>
                <w:rFonts w:hint="eastAsia" w:ascii="宋体" w:hAnsi="宋体" w:cs="Times New Roman"/>
                <w:szCs w:val="21"/>
              </w:rPr>
              <w:t>市政道路及基础设施的维护保养过程</w:t>
            </w:r>
            <w:r>
              <w:rPr>
                <w:rFonts w:hint="eastAsia" w:ascii="宋体" w:hAnsi="宋体" w:cs="Times New Roman"/>
                <w:szCs w:val="21"/>
                <w:lang w:val="en-US" w:eastAsia="zh-CN"/>
              </w:rPr>
              <w:t>等</w:t>
            </w:r>
            <w:r>
              <w:rPr>
                <w:rFonts w:hint="eastAsia" w:asciiTheme="minorEastAsia" w:hAnsiTheme="minorEastAsia" w:eastAsiaTheme="minorEastAsia" w:cstheme="minorEastAsia"/>
                <w:sz w:val="21"/>
                <w:szCs w:val="21"/>
                <w:highlight w:val="none"/>
                <w:lang w:val="en-US" w:eastAsia="zh-CN"/>
              </w:rPr>
              <w:t>环境因素包括：水的消耗、电的消耗、办公用品的消耗、化学药剂废桶、水处理设备运行噪音排放、中水排放、生活垃圾的排放、修剪绿篱、灌木、乔木等产生的废弃物、电气维修过程产生的废电线、电灯、道路维修产生的废弃物等；</w:t>
            </w:r>
          </w:p>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提供《重要环境因素清单》4项，包括固废排放（化学药剂废桶、废滤芯）、火灾、噪音、废水排放发生</w:t>
            </w:r>
            <w:r>
              <w:rPr>
                <w:rFonts w:hint="eastAsia" w:asciiTheme="minorEastAsia" w:hAnsiTheme="minorEastAsia" w:eastAsiaTheme="minorEastAsia" w:cstheme="minorEastAsia"/>
                <w:color w:val="auto"/>
                <w:sz w:val="21"/>
                <w:szCs w:val="21"/>
                <w:highlight w:val="none"/>
                <w:lang w:val="en-US" w:eastAsia="zh-CN"/>
              </w:rPr>
              <w:t>。</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提供《危险源辨识与风险评价》，识别了办公区、</w:t>
            </w:r>
            <w:r>
              <w:rPr>
                <w:rFonts w:hint="eastAsia" w:ascii="宋体" w:hAnsi="宋体"/>
                <w:szCs w:val="21"/>
              </w:rPr>
              <w:t>运营管理部门</w:t>
            </w:r>
            <w:r>
              <w:rPr>
                <w:rFonts w:hint="eastAsia" w:ascii="宋体" w:hAnsi="宋体" w:cs="Times New Roman"/>
                <w:szCs w:val="21"/>
                <w:lang w:val="en-US" w:eastAsia="zh-CN"/>
              </w:rPr>
              <w:t>、</w:t>
            </w:r>
            <w:r>
              <w:rPr>
                <w:rFonts w:hint="eastAsia" w:ascii="宋体" w:hAnsi="宋体" w:cs="Times New Roman"/>
                <w:szCs w:val="21"/>
              </w:rPr>
              <w:t>供水厂运营过程</w:t>
            </w:r>
            <w:r>
              <w:rPr>
                <w:rFonts w:hint="eastAsia" w:ascii="宋体" w:hAnsi="宋体" w:cs="Times New Roman"/>
                <w:szCs w:val="21"/>
                <w:lang w:eastAsia="zh-CN"/>
              </w:rPr>
              <w:t>、</w:t>
            </w:r>
            <w:r>
              <w:rPr>
                <w:rFonts w:hint="eastAsia" w:ascii="宋体" w:hAnsi="宋体" w:cs="Times New Roman"/>
                <w:szCs w:val="21"/>
              </w:rPr>
              <w:t>市政道路及基础设施的维护保养过程</w:t>
            </w:r>
            <w:r>
              <w:rPr>
                <w:rFonts w:hint="eastAsia" w:ascii="宋体" w:hAnsi="宋体" w:cs="Times New Roman"/>
                <w:szCs w:val="21"/>
                <w:lang w:val="en-US" w:eastAsia="zh-CN"/>
              </w:rPr>
              <w:t>等</w:t>
            </w:r>
            <w:r>
              <w:rPr>
                <w:rFonts w:hint="eastAsia" w:asciiTheme="minorEastAsia" w:hAnsiTheme="minorEastAsia" w:eastAsiaTheme="minorEastAsia" w:cstheme="minorEastAsia"/>
                <w:sz w:val="21"/>
                <w:szCs w:val="21"/>
                <w:highlight w:val="none"/>
                <w:lang w:val="en-US" w:eastAsia="zh-CN"/>
              </w:rPr>
              <w:t>危险源，抽查如下：</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作业活动</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危险源</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导致的后果</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道路网裂、沉陷</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绊倒</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绿地养护设备使用</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机械伤害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施工垃圾未及时清理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堵塞交通、绊倒行人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跟换线路、电灯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密闭空间作业</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人员被困在密闭空间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更换路灯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井盖丢失</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掉进井内</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无护栏，从高处跌落到水处理间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见《不可接受危险源清单》，意外伤害、触电、火灾伤害、被困密闭空间、噪音、意外交通事故、高空坠物。</w:t>
            </w:r>
          </w:p>
          <w:p>
            <w:pPr>
              <w:pStyle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以上重要环境因素清单、重要危险因素清单中制定了针对性控制措施，措施基本有效。</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1004" w:type="dxa"/>
            <w:vAlign w:val="top"/>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pStyle w:val="2"/>
              <w:rPr>
                <w:rFonts w:hint="eastAsia" w:asciiTheme="minorEastAsia" w:hAnsiTheme="minorEastAsia" w:eastAsiaTheme="minorEastAsia" w:cstheme="minorEastAsia"/>
                <w:bCs/>
                <w:szCs w:val="21"/>
                <w:highlight w:val="none"/>
              </w:rPr>
            </w:pPr>
          </w:p>
        </w:tc>
        <w:tc>
          <w:tcPr>
            <w:tcW w:w="11251" w:type="dxa"/>
            <w:vAlign w:val="top"/>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有SXCS/CX-C-05法律法规及其他要求控制程序、SXCS/CX-C-20合规性评价控制程序 </w:t>
            </w:r>
            <w:r>
              <w:rPr>
                <w:rFonts w:hint="eastAsia" w:asciiTheme="minorEastAsia" w:hAnsiTheme="minorEastAsia" w:eastAsiaTheme="minorEastAsia" w:cstheme="minorEastAsia"/>
                <w:color w:val="auto"/>
                <w:sz w:val="21"/>
                <w:szCs w:val="21"/>
                <w:highlight w:val="none"/>
                <w:lang w:val="en-US" w:eastAsia="zh-CN"/>
              </w:rPr>
              <w:t>等，</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法律法规和其他要求一览表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合规性评价表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评审时间</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2020年4月30日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评审地点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公司会议室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记录人高翡</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参加人员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严恪、高翡、薛宇航、王子怡、郑刚、穆应应等</w:t>
            </w:r>
            <w:r>
              <w:rPr>
                <w:rFonts w:hint="eastAsia" w:asciiTheme="minorEastAsia" w:hAnsiTheme="minorEastAsia" w:eastAsiaTheme="minorEastAsia" w:cstheme="minorEastAsia"/>
                <w:color w:val="auto"/>
                <w:sz w:val="21"/>
                <w:szCs w:val="21"/>
                <w:highlight w:val="none"/>
                <w:lang w:val="en-US" w:eastAsia="zh-CN"/>
              </w:rPr>
              <w:t>，抽查如下：</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华人民共和国消防法》、陕西省消防条例、陕西省安全生产条例、陕西省重大危险源监督管理规定、危险化学品安全管理条例、污水综合排放标准、处置场污染控制标准、危险废物转移联单管理办法、陕西省实施《中华人民共和国环境影响评价法》办法、陕西省节约用水办法、国家突发环境事件应急预案、环境空气质量标准、陕西省化学危险品安全管理规定（试行）、突发环境事件应急预案编制导则等，控制措施及现状：已制定安全防火制度及应急预案。配备消防器材。重点场所标识禁火。定期巡查，消除隐患。每年进行至少一次消防演练。</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结果：</w:t>
            </w:r>
            <w:r>
              <w:rPr>
                <w:rFonts w:hint="eastAsia" w:asciiTheme="minorEastAsia" w:hAnsiTheme="minorEastAsia" w:eastAsiaTheme="minorEastAsia" w:cstheme="minorEastAsia"/>
                <w:color w:val="auto"/>
                <w:sz w:val="21"/>
                <w:szCs w:val="21"/>
                <w:highlight w:val="none"/>
                <w:lang w:val="en-US" w:eastAsia="zh-CN"/>
              </w:rPr>
              <w:t>基本符合</w:t>
            </w:r>
          </w:p>
        </w:tc>
        <w:tc>
          <w:tcPr>
            <w:tcW w:w="655" w:type="dxa"/>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val="en-US" w:eastAsia="zh-CN"/>
              </w:rPr>
              <w:t>环境和职业健康安全运行控制</w:t>
            </w:r>
          </w:p>
        </w:tc>
        <w:tc>
          <w:tcPr>
            <w:tcW w:w="1004" w:type="dxa"/>
            <w:vAlign w:val="top"/>
          </w:tcPr>
          <w:p>
            <w:pPr>
              <w:pStyle w:val="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EO8.1</w:t>
            </w:r>
          </w:p>
        </w:tc>
        <w:tc>
          <w:tcPr>
            <w:tcW w:w="11251" w:type="dxa"/>
            <w:vAlign w:val="top"/>
          </w:tcPr>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见：监测报告，陕晟水监字(2020) 第06041号，项目名称:西咸新区城市设施管理有限公司供水站，水质检测(饮用水、废水) (2020年6月份)</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委托单位:西咸新区城市设施管理有限公司，建设单位:西咸新区城市设施管理有限公司，</w:t>
            </w:r>
          </w:p>
          <w:p>
            <w:pPr>
              <w:pStyle w:val="2"/>
              <w:rPr>
                <w:rFonts w:hint="eastAsia" w:ascii="Times New Roman" w:hAnsi="Times New Roman" w:cs="Times New Roman"/>
                <w:szCs w:val="22"/>
                <w:lang w:val="en-US" w:eastAsia="zh-CN"/>
              </w:rPr>
            </w:pPr>
            <w:r>
              <w:rPr>
                <w:rFonts w:hint="eastAsia" w:ascii="Times New Roman" w:hAnsi="Times New Roman" w:eastAsia="宋体" w:cs="Times New Roman"/>
                <w:szCs w:val="22"/>
                <w:lang w:val="en-US" w:eastAsia="zh-CN"/>
              </w:rPr>
              <w:t>监测内容</w:t>
            </w:r>
            <w:r>
              <w:rPr>
                <w:rFonts w:hint="eastAsia" w:ascii="Times New Roman" w:hAnsi="Times New Roman" w:cs="Times New Roman"/>
                <w:szCs w:val="22"/>
                <w:lang w:val="en-US" w:eastAsia="zh-CN"/>
              </w:rPr>
              <w:t>：</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监测点位：供水口、废水池，</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监测项目：总大肠菌群、耐热大肠菌群、大肠埃希氏菌、菌落总数、汞、砷、硒、氰化物、硝酸盐(以N计)、氯化物、硫酸盐、氟化物、溴酸盐、氯酸盐、亚氯酸盐、铜、锌、铅、镉、铁、锰、铝、六价铬、三氯甲烷、四氯化碳、甲醛、色度、挥发酚、阴离子合成洗涤剂、总a放射性、总β放射性等，</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结论：</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本次供水口水质监测结果均符合《生活饮用水卫生标准》GB 5749-2006表1水质常规指标及限值要求。</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本次废水池水质中化学需氧量、总磷、悬浮物、动植物油类在《城市污水再生利用城市杂用水水质》GB/T 18920-2002中无限值要求，不进行评价;其他项目监测结果均符合《城市污水再生利用城市杂用水水质》GB/T 18920-2002表1城市杂用水水质标准中城市绿化标准限值要求。</w:t>
            </w:r>
          </w:p>
          <w:p>
            <w:pPr>
              <w:pStyle w:val="2"/>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报告日期:2020年06月30日。</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另见：2020年09月27日，陕晟水监字(2020) 第09065号监测报告；2020年10月26日，陕晟水监字(2020) 第10015号监测报告；2020年11月30日，陕晟水监字(2020) 第11099号监测报告；结论均合格。详见附件。</w:t>
            </w:r>
          </w:p>
          <w:p>
            <w:pPr>
              <w:rPr>
                <w:rFonts w:hint="eastAsia" w:asciiTheme="minorEastAsia" w:hAnsiTheme="minorEastAsia" w:eastAsiaTheme="minorEastAsia" w:cstheme="minorEastAsia"/>
                <w:sz w:val="21"/>
                <w:szCs w:val="21"/>
                <w:highlight w:val="red"/>
                <w:lang w:val="en-US" w:eastAsia="zh-CN"/>
              </w:rPr>
            </w:pP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环保设施和安全设施的管理由综合部负责，环保设施的检查及运行相关记录见综合部审核记录。运营管理部负责使用和设备的维护。</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提供《设备维护保养计划表》2020年，包括：设备名称、型号规格、安装地点、维护保养周期、维护时间安排、维护执行部门等内容，对26台主要设备编制了维护计划。</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提供《设备维护保养记录》</w:t>
            </w:r>
          </w:p>
          <w:p>
            <w:pPr>
              <w:pStyle w:val="2"/>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设备名称：原水井提升泵；时间安排2020.8.25；承担部门：运营管理部（供水站）；检查内容：原水井是否有大块物质进入设备，以免堵塞管道与孔口致使水泵损坏；设备人孔必须盖好，以免发生意外或掉入大块固体物质；水泵运转是否正常；风机机油是否需要更换；皮带的松紧程度；进入设备污水的PH值是否在6-9 之间（PH计测试）；更换内容：更换机油；更换进水阀门。试运转情况：试运转正常，无异常情况；维护保养人：张冕、雒新峰，验收：李航泊，2020年8月25日。</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设备名称：碳滤罐；时间安排2020.6.8三个月（2020.6.8；2020.9.5；2020.12.1）；承担部门：运营管理部（供水站）；检查内容：灯管；活性炭；水泵运行情况；风管密封性；维护要点：检查灯管是否有损坏；检查活性炭是否需要更换；检查电机是否有异响，是否需要润滑；检查管道连接处是否漏气。更换内容：灯管及活性炭完好，无需更换；维护保养人：梁伟、张恒，验收：张涛，2020年6月8日，</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其他两次检查记录略。</w:t>
            </w:r>
          </w:p>
          <w:p>
            <w:pPr>
              <w:pStyle w:val="2"/>
              <w:rPr>
                <w:rFonts w:hint="eastAsia" w:asciiTheme="minorEastAsia" w:hAnsiTheme="minorEastAsia" w:eastAsiaTheme="minorEastAsia" w:cstheme="minorEastAsia"/>
                <w:sz w:val="21"/>
                <w:szCs w:val="21"/>
                <w:highlight w:val="red"/>
                <w:lang w:val="en-US" w:eastAsia="zh-CN"/>
              </w:rPr>
            </w:pPr>
            <w:r>
              <w:rPr>
                <w:rFonts w:hint="eastAsia" w:ascii="Times New Roman" w:hAnsi="Times New Roman" w:cs="Times New Roman"/>
                <w:szCs w:val="22"/>
                <w:lang w:val="en-US" w:eastAsia="zh-CN"/>
              </w:rPr>
              <w:t>另查：反渗透设备维护检查记录，基本符合要求。</w:t>
            </w:r>
          </w:p>
        </w:tc>
        <w:tc>
          <w:tcPr>
            <w:tcW w:w="655" w:type="dxa"/>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highlight w:val="none"/>
                <w:lang w:val="en-US" w:eastAsia="zh-CN"/>
              </w:rPr>
              <w:t>应急准备和响应</w:t>
            </w:r>
          </w:p>
        </w:tc>
        <w:tc>
          <w:tcPr>
            <w:tcW w:w="1004" w:type="dxa"/>
            <w:vAlign w:val="top"/>
          </w:tcPr>
          <w:p>
            <w:pP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EO8.2</w:t>
            </w:r>
          </w:p>
        </w:tc>
        <w:tc>
          <w:tcPr>
            <w:tcW w:w="11251" w:type="dxa"/>
            <w:vAlign w:val="top"/>
          </w:tcPr>
          <w:p>
            <w:pPr>
              <w:rPr>
                <w:rFonts w:hint="eastAsia"/>
                <w:lang w:val="en-US" w:eastAsia="zh-CN"/>
              </w:rPr>
            </w:pPr>
            <w:r>
              <w:rPr>
                <w:rFonts w:hint="eastAsia"/>
                <w:lang w:val="en-US" w:eastAsia="zh-CN"/>
              </w:rPr>
              <w:t>编制了</w:t>
            </w:r>
            <w:r>
              <w:rPr>
                <w:rFonts w:hint="eastAsia"/>
              </w:rPr>
              <w:t>应急准备和响应控制</w:t>
            </w:r>
            <w:r>
              <w:rPr>
                <w:rFonts w:hint="eastAsia"/>
                <w:lang w:val="en-US" w:eastAsia="zh-CN"/>
              </w:rPr>
              <w:t>程序，</w:t>
            </w:r>
          </w:p>
          <w:p>
            <w:pPr>
              <w:jc w:val="left"/>
              <w:rPr>
                <w:rFonts w:hint="eastAsia"/>
                <w:lang w:val="en-US" w:eastAsia="zh-CN"/>
              </w:rPr>
            </w:pPr>
            <w:r>
              <w:rPr>
                <w:rFonts w:hint="eastAsia"/>
                <w:lang w:val="en-US" w:eastAsia="zh-CN"/>
              </w:rPr>
              <w:t>提供火灾应急事故预案；施工现场高处坠落、机械伤害、物体打击应急救援预案；触电事故应急预案等，包括：应急目的、内容职责、应急响应流程等。</w:t>
            </w:r>
          </w:p>
          <w:p>
            <w:pPr>
              <w:rPr>
                <w:rFonts w:hint="eastAsia"/>
                <w:lang w:val="en-US" w:eastAsia="zh-CN"/>
              </w:rPr>
            </w:pPr>
            <w:r>
              <w:rPr>
                <w:rFonts w:hint="eastAsia"/>
                <w:lang w:val="en-US" w:eastAsia="zh-CN"/>
              </w:rPr>
              <w:t>抽查：</w:t>
            </w:r>
          </w:p>
          <w:p>
            <w:pPr>
              <w:rPr>
                <w:rFonts w:hint="eastAsia"/>
                <w:lang w:val="en-US" w:eastAsia="zh-CN"/>
              </w:rPr>
            </w:pPr>
            <w:r>
              <w:rPr>
                <w:rFonts w:hint="eastAsia"/>
                <w:lang w:val="en-US" w:eastAsia="zh-CN"/>
              </w:rPr>
              <w:t>应急演练（火灾）记录，演练时间2020年5月19日，指挥人员：薛宇航，</w:t>
            </w:r>
          </w:p>
          <w:p>
            <w:pPr>
              <w:rPr>
                <w:rFonts w:hint="eastAsia"/>
                <w:lang w:val="en-US" w:eastAsia="zh-CN"/>
              </w:rPr>
            </w:pPr>
            <w:r>
              <w:rPr>
                <w:rFonts w:hint="eastAsia"/>
                <w:lang w:val="en-US" w:eastAsia="zh-CN"/>
              </w:rPr>
              <w:t>参加人员：综合部、运营管理部、财务部共计25人</w:t>
            </w:r>
          </w:p>
          <w:p>
            <w:pPr>
              <w:rPr>
                <w:rFonts w:hint="eastAsia"/>
                <w:lang w:val="en-US" w:eastAsia="zh-CN"/>
              </w:rPr>
            </w:pPr>
            <w:r>
              <w:rPr>
                <w:rFonts w:hint="eastAsia"/>
                <w:lang w:val="en-US" w:eastAsia="zh-CN"/>
              </w:rPr>
              <w:t>消防器材：灭火器6瓶、消防水带3卷、斧头1把、枪头2个、三分头1个、扳手、消防服装（2套）、水鞋2双，</w:t>
            </w:r>
          </w:p>
          <w:p>
            <w:pPr>
              <w:rPr>
                <w:rFonts w:hint="eastAsia"/>
                <w:lang w:val="en-US" w:eastAsia="zh-CN"/>
              </w:rPr>
            </w:pPr>
            <w:r>
              <w:rPr>
                <w:rFonts w:hint="eastAsia"/>
                <w:lang w:val="en-US" w:eastAsia="zh-CN"/>
              </w:rPr>
              <w:t>有演习情况记录和</w:t>
            </w:r>
            <w:r>
              <w:rPr>
                <w:rFonts w:hint="eastAsia" w:ascii="Times New Roman" w:hAnsi="Times New Roman" w:cs="Times New Roman"/>
                <w:szCs w:val="22"/>
                <w:lang w:val="en-US" w:eastAsia="zh-CN"/>
              </w:rPr>
              <w:t>总结，并对演练预案进行了评估，满足应急预案。</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另查：2020年5月18日触电应急</w:t>
            </w:r>
            <w:r>
              <w:rPr>
                <w:rFonts w:hint="eastAsia" w:ascii="Times New Roman" w:hAnsi="Times New Roman" w:cs="Times New Roman"/>
                <w:bCs w:val="0"/>
                <w:spacing w:val="0"/>
                <w:kern w:val="2"/>
                <w:sz w:val="21"/>
                <w:szCs w:val="22"/>
                <w:lang w:val="en-US" w:eastAsia="zh-CN" w:bidi="ar-SA"/>
              </w:rPr>
              <w:t>演练</w:t>
            </w:r>
            <w:r>
              <w:rPr>
                <w:rFonts w:hint="eastAsia" w:ascii="Times New Roman" w:hAnsi="Times New Roman" w:eastAsia="宋体" w:cs="Times New Roman"/>
                <w:bCs w:val="0"/>
                <w:spacing w:val="0"/>
                <w:kern w:val="2"/>
                <w:sz w:val="21"/>
                <w:szCs w:val="22"/>
                <w:lang w:val="en-US" w:eastAsia="zh-CN" w:bidi="ar-SA"/>
              </w:rPr>
              <w:t>，</w:t>
            </w:r>
            <w:r>
              <w:rPr>
                <w:rFonts w:hint="eastAsia"/>
                <w:lang w:val="en-US" w:eastAsia="zh-CN"/>
              </w:rPr>
              <w:t>指挥人员：</w:t>
            </w:r>
            <w:r>
              <w:rPr>
                <w:rFonts w:hint="eastAsia" w:ascii="Times New Roman" w:hAnsi="Times New Roman" w:eastAsia="宋体" w:cs="Times New Roman"/>
                <w:bCs w:val="0"/>
                <w:spacing w:val="0"/>
                <w:kern w:val="2"/>
                <w:sz w:val="21"/>
                <w:szCs w:val="22"/>
                <w:lang w:val="en-US" w:eastAsia="zh-CN" w:bidi="ar-SA"/>
              </w:rPr>
              <w:t>高翡，演练</w:t>
            </w:r>
            <w:r>
              <w:rPr>
                <w:rFonts w:hint="eastAsia" w:ascii="Times New Roman" w:hAnsi="Times New Roman" w:cs="Times New Roman"/>
                <w:bCs w:val="0"/>
                <w:spacing w:val="0"/>
                <w:kern w:val="2"/>
                <w:sz w:val="21"/>
                <w:szCs w:val="22"/>
                <w:lang w:val="en-US" w:eastAsia="zh-CN" w:bidi="ar-SA"/>
              </w:rPr>
              <w:t>结论：</w:t>
            </w:r>
            <w:r>
              <w:rPr>
                <w:rFonts w:hint="eastAsia" w:ascii="Times New Roman" w:hAnsi="Times New Roman" w:eastAsia="宋体" w:cs="Times New Roman"/>
                <w:bCs w:val="0"/>
                <w:spacing w:val="0"/>
                <w:kern w:val="2"/>
                <w:sz w:val="21"/>
                <w:szCs w:val="22"/>
                <w:lang w:val="en-US" w:eastAsia="zh-CN" w:bidi="ar-SA"/>
              </w:rPr>
              <w:t>基本达到演练目的。</w:t>
            </w:r>
          </w:p>
          <w:p>
            <w:pPr>
              <w:pStyle w:val="2"/>
              <w:rPr>
                <w:rFonts w:hint="eastAsia" w:ascii="Times New Roman" w:hAnsi="Times New Roman" w:cs="Times New Roman"/>
                <w:bCs w:val="0"/>
                <w:spacing w:val="0"/>
                <w:kern w:val="2"/>
                <w:sz w:val="21"/>
                <w:szCs w:val="22"/>
                <w:lang w:val="en-US" w:eastAsia="zh-CN" w:bidi="ar-SA"/>
              </w:rPr>
            </w:pPr>
            <w:r>
              <w:rPr>
                <w:rFonts w:hint="eastAsia" w:ascii="Times New Roman" w:hAnsi="Times New Roman" w:cs="Times New Roman"/>
                <w:bCs w:val="0"/>
                <w:spacing w:val="0"/>
                <w:kern w:val="2"/>
                <w:sz w:val="21"/>
                <w:szCs w:val="22"/>
                <w:lang w:val="en-US" w:eastAsia="zh-CN" w:bidi="ar-SA"/>
              </w:rPr>
              <w:t>预案评估：</w:t>
            </w:r>
            <w:r>
              <w:rPr>
                <w:rFonts w:hint="eastAsia" w:ascii="Times New Roman" w:hAnsi="Times New Roman" w:eastAsia="宋体" w:cs="Times New Roman"/>
                <w:bCs w:val="0"/>
                <w:spacing w:val="0"/>
                <w:kern w:val="2"/>
                <w:sz w:val="21"/>
                <w:szCs w:val="22"/>
                <w:lang w:val="en-US" w:eastAsia="zh-CN" w:bidi="ar-SA"/>
              </w:rPr>
              <w:t>进一步完善和修改《触电应急救援预案》</w:t>
            </w:r>
            <w:r>
              <w:rPr>
                <w:rFonts w:hint="eastAsia" w:ascii="Times New Roman" w:hAnsi="Times New Roman" w:cs="Times New Roman"/>
                <w:bCs w:val="0"/>
                <w:spacing w:val="0"/>
                <w:kern w:val="2"/>
                <w:sz w:val="21"/>
                <w:szCs w:val="22"/>
                <w:lang w:val="en-US" w:eastAsia="zh-CN" w:bidi="ar-SA"/>
              </w:rPr>
              <w:t>，</w:t>
            </w:r>
            <w:r>
              <w:rPr>
                <w:rFonts w:hint="eastAsia" w:ascii="Times New Roman" w:hAnsi="Times New Roman" w:eastAsia="宋体" w:cs="Times New Roman"/>
                <w:bCs w:val="0"/>
                <w:spacing w:val="0"/>
                <w:kern w:val="2"/>
                <w:sz w:val="21"/>
                <w:szCs w:val="22"/>
                <w:lang w:val="en-US" w:eastAsia="zh-CN" w:bidi="ar-SA"/>
              </w:rPr>
              <w:t>认真抓好员工安全教育培训，开展技能练兵，使施工人员从理论实践中增长安全技能，提高安全意识。加强安全管理力度，建立健全和完善各项规章制度</w:t>
            </w:r>
            <w:r>
              <w:rPr>
                <w:rFonts w:hint="eastAsia" w:ascii="Times New Roman" w:hAnsi="Times New Roman" w:cs="Times New Roman"/>
                <w:bCs w:val="0"/>
                <w:spacing w:val="0"/>
                <w:kern w:val="2"/>
                <w:sz w:val="21"/>
                <w:szCs w:val="22"/>
                <w:lang w:val="en-US" w:eastAsia="zh-CN" w:bidi="ar-SA"/>
              </w:rPr>
              <w:t>。</w:t>
            </w:r>
          </w:p>
        </w:tc>
        <w:tc>
          <w:tcPr>
            <w:tcW w:w="655" w:type="dxa"/>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rPr>
                <w:rFonts w:hint="eastAsia"/>
              </w:rPr>
            </w:pPr>
            <w:r>
              <w:rPr>
                <w:rFonts w:hint="eastAsia"/>
              </w:rPr>
              <w:t>监视、测量、分析、评价</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投诉或事故/政府主管部门监督抽查情况</w:t>
            </w:r>
          </w:p>
        </w:tc>
        <w:tc>
          <w:tcPr>
            <w:tcW w:w="1004" w:type="dxa"/>
            <w:vAlign w:val="top"/>
          </w:tcPr>
          <w:p>
            <w:pPr>
              <w:rPr>
                <w:rFonts w:hint="eastAsia" w:ascii="Times New Roman" w:hAnsi="Times New Roman" w:cs="Times New Roman"/>
                <w:szCs w:val="22"/>
              </w:rPr>
            </w:pPr>
            <w:r>
              <w:rPr>
                <w:rFonts w:hint="eastAsia" w:ascii="Times New Roman" w:hAnsi="Times New Roman" w:cs="Times New Roman"/>
                <w:szCs w:val="22"/>
              </w:rPr>
              <w:t>QEO9.1</w:t>
            </w:r>
          </w:p>
          <w:p>
            <w:pPr>
              <w:rPr>
                <w:rFonts w:hint="eastAsia" w:ascii="Times New Roman" w:hAnsi="Times New Roman" w:cs="Times New Roman"/>
                <w:szCs w:val="22"/>
              </w:rPr>
            </w:pPr>
          </w:p>
        </w:tc>
        <w:tc>
          <w:tcPr>
            <w:tcW w:w="11251" w:type="dxa"/>
            <w:vAlign w:val="top"/>
          </w:tcPr>
          <w:p>
            <w:pPr>
              <w:rPr>
                <w:rFonts w:hint="eastAsia" w:ascii="Times New Roman" w:hAnsi="Times New Roman" w:cs="Times New Roman"/>
                <w:szCs w:val="22"/>
              </w:rPr>
            </w:pPr>
            <w:r>
              <w:rPr>
                <w:rFonts w:hint="eastAsia" w:ascii="Times New Roman" w:hAnsi="Times New Roman" w:cs="Times New Roman"/>
                <w:szCs w:val="22"/>
              </w:rPr>
              <w:t>1、 查到《质量手册》，规定了有关数据分析评价的内容，符合标准要求。</w:t>
            </w:r>
          </w:p>
          <w:p>
            <w:pPr>
              <w:rPr>
                <w:rFonts w:hint="eastAsia" w:ascii="Times New Roman" w:hAnsi="Times New Roman" w:cs="Times New Roman"/>
                <w:szCs w:val="22"/>
              </w:rPr>
            </w:pPr>
            <w:r>
              <w:rPr>
                <w:rFonts w:hint="eastAsia" w:ascii="Times New Roman" w:hAnsi="Times New Roman" w:cs="Times New Roman"/>
                <w:szCs w:val="22"/>
              </w:rPr>
              <w:t xml:space="preserve">    对数据分析评价的方法和内容进行规定。常用数据分析方法主要有直方图、因果分析、鱼刺图、排列图、对策表等法。所收集信息包括材料供方、顾客满意率、产品质量等。</w:t>
            </w:r>
          </w:p>
          <w:p>
            <w:pPr>
              <w:rPr>
                <w:rFonts w:hint="eastAsia" w:ascii="Times New Roman" w:hAnsi="Times New Roman" w:cs="Times New Roman"/>
                <w:szCs w:val="22"/>
              </w:rPr>
            </w:pPr>
            <w:r>
              <w:rPr>
                <w:rFonts w:hint="eastAsia" w:ascii="Times New Roman" w:hAnsi="Times New Roman" w:cs="Times New Roman"/>
                <w:szCs w:val="22"/>
              </w:rPr>
              <w:t>2、 对产品的质量情况、顾客满意度情况、体系的绩效和有效性、措施的有效性、外部供方的绩效、改进需求等进行数据总结，采用直方图、因果分析、鱼刺图、排列图、对策表等方法进行分析。</w:t>
            </w:r>
          </w:p>
          <w:p>
            <w:pPr>
              <w:rPr>
                <w:rFonts w:hint="eastAsia" w:ascii="Times New Roman" w:hAnsi="Times New Roman" w:cs="Times New Roman"/>
                <w:szCs w:val="22"/>
              </w:rPr>
            </w:pPr>
            <w:r>
              <w:rPr>
                <w:rFonts w:hint="eastAsia" w:ascii="Times New Roman" w:hAnsi="Times New Roman" w:cs="Times New Roman"/>
                <w:szCs w:val="22"/>
              </w:rPr>
              <w:t xml:space="preserve">    查到目标指标的完成情况，形成了相关的材料证实，并输入到了管理评审中。</w:t>
            </w:r>
          </w:p>
          <w:p>
            <w:pPr>
              <w:rPr>
                <w:rFonts w:hint="eastAsia" w:ascii="Times New Roman" w:hAnsi="Times New Roman" w:cs="Times New Roman"/>
                <w:szCs w:val="22"/>
              </w:rPr>
            </w:pPr>
            <w:r>
              <w:rPr>
                <w:rFonts w:hint="eastAsia" w:ascii="Times New Roman" w:hAnsi="Times New Roman" w:cs="Times New Roman"/>
                <w:szCs w:val="22"/>
              </w:rPr>
              <w:t>以上统计技术的应用和数据分析的实施情况证实，基本符合标准要求，均实施了有效性的评价，通过数据分析，为质量管理体系有关过程的改进提供机会。</w:t>
            </w:r>
          </w:p>
          <w:p>
            <w:pPr>
              <w:rPr>
                <w:rFonts w:hint="eastAsia" w:ascii="Times New Roman" w:hAnsi="Times New Roman" w:cs="Times New Roman"/>
                <w:szCs w:val="22"/>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企业自QEO管理体系运行以来未发生质量投诉事件。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未发生环境污染和环境违规处罚</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未发生安全事故，未出现职业健康伤害；</w:t>
            </w:r>
          </w:p>
          <w:p>
            <w:pPr>
              <w:rPr>
                <w:rFonts w:hint="eastAsia" w:ascii="Times New Roman" w:hAnsi="Times New Roman" w:cs="Times New Roman"/>
                <w:szCs w:val="22"/>
              </w:rPr>
            </w:pPr>
            <w:r>
              <w:rPr>
                <w:rFonts w:hint="eastAsia" w:ascii="Times New Roman" w:hAnsi="Times New Roman" w:cs="Times New Roman"/>
                <w:szCs w:val="22"/>
                <w:lang w:val="en-US" w:eastAsia="zh-CN"/>
              </w:rPr>
              <w:t>地方政府对产品质量抽检情况：企业介绍：接受地方政府抽检，但未給企业抽检报告。</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w:t>
            </w:r>
          </w:p>
          <w:p>
            <w:pPr>
              <w:rPr>
                <w:rFonts w:hint="eastAsia" w:asciiTheme="minorEastAsia" w:hAnsiTheme="minorEastAsia" w:eastAsiaTheme="minorEastAsia" w:cstheme="minorEastAsia"/>
                <w:color w:val="auto"/>
                <w:sz w:val="21"/>
                <w:szCs w:val="21"/>
                <w:lang w:eastAsia="zh-CN"/>
              </w:rPr>
            </w:pPr>
          </w:p>
        </w:tc>
        <w:tc>
          <w:tcPr>
            <w:tcW w:w="1004" w:type="dxa"/>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Q/O</w:t>
            </w:r>
            <w:r>
              <w:rPr>
                <w:rFonts w:hint="eastAsia" w:asciiTheme="minorEastAsia" w:hAnsiTheme="minorEastAsia" w:eastAsiaTheme="minorEastAsia" w:cstheme="minorEastAsia"/>
                <w:sz w:val="21"/>
                <w:szCs w:val="21"/>
              </w:rPr>
              <w:t>：10.1，10.3</w:t>
            </w:r>
          </w:p>
          <w:p>
            <w:pPr>
              <w:rPr>
                <w:rFonts w:hint="eastAsia" w:asciiTheme="minorEastAsia" w:hAnsiTheme="minorEastAsia" w:eastAsiaTheme="minorEastAsia" w:cstheme="minorEastAsia"/>
                <w:color w:val="auto"/>
                <w:sz w:val="21"/>
                <w:szCs w:val="21"/>
                <w:lang w:val="en-US" w:eastAsia="zh-CN"/>
              </w:rPr>
            </w:pPr>
          </w:p>
        </w:tc>
        <w:tc>
          <w:tcPr>
            <w:tcW w:w="11251" w:type="dxa"/>
            <w:tcBorders>
              <w:bottom w:val="single" w:color="auto" w:sz="4" w:space="0"/>
            </w:tcBorders>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者代表根据总经理意图组织持续改进过程的策划要求由总经办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管理、环保、职业健康意识、安全意识有较大的提高，持续改进了管理体系的有效性。</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自管理体系运行以来，全员的管理意识、服务意识、环保意识有较大的提高，市场经营规模有了较大发展，持续改进了管理管理体系的有效性。</w:t>
            </w:r>
          </w:p>
        </w:tc>
        <w:tc>
          <w:tcPr>
            <w:tcW w:w="655" w:type="dxa"/>
            <w:tcBorders>
              <w:bottom w:val="single" w:color="auto" w:sz="4" w:space="0"/>
            </w:tcBorders>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vAlign w:val="top"/>
          </w:tcPr>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事件、不符合和纠正措施</w:t>
            </w:r>
          </w:p>
        </w:tc>
        <w:tc>
          <w:tcPr>
            <w:tcW w:w="1004" w:type="dxa"/>
            <w:tcBorders>
              <w:bottom w:val="single" w:color="auto" w:sz="4" w:space="0"/>
            </w:tcBorders>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QEO10.2</w:t>
            </w:r>
          </w:p>
        </w:tc>
        <w:tc>
          <w:tcPr>
            <w:tcW w:w="11251" w:type="dxa"/>
            <w:tcBorders>
              <w:bottom w:val="single" w:color="auto" w:sz="4" w:space="0"/>
            </w:tcBorders>
            <w:vAlign w:val="top"/>
          </w:tcPr>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企业经过策划、过程的监视和测量、绩效考核、内审、管理评审等方式和机制，确保质量管理制度有效执行。制定监视和测量控制程序、不符合、纠正和预防措施控制程序、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对内审中的不符合，采取了纠正措施，并验证； </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公司生产及销售活动未发生过环境、安全等事故。</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   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管理评审提出改进措施正在实施过程中。</w:t>
            </w:r>
          </w:p>
        </w:tc>
        <w:tc>
          <w:tcPr>
            <w:tcW w:w="655" w:type="dxa"/>
            <w:tcBorders>
              <w:bottom w:val="single" w:color="auto" w:sz="4" w:space="0"/>
            </w:tcBorders>
          </w:tcPr>
          <w:p>
            <w:pPr>
              <w:spacing w:line="360" w:lineRule="auto"/>
              <w:rPr>
                <w:rFonts w:hint="eastAsia" w:asciiTheme="minorEastAsia" w:hAnsiTheme="minorEastAsia" w:eastAsiaTheme="minorEastAsia" w:cstheme="minorEastAsia"/>
                <w:szCs w:val="21"/>
              </w:rPr>
            </w:pPr>
          </w:p>
        </w:tc>
      </w:tr>
    </w:tbl>
    <w:p>
      <w:pPr>
        <w:pStyle w:val="3"/>
        <w:rPr>
          <w:rFonts w:hint="eastAsia" w:asciiTheme="minorEastAsia" w:hAnsiTheme="minorEastAsia" w:eastAsiaTheme="minorEastAsia" w:cstheme="minorEastAsia"/>
        </w:rPr>
      </w:pPr>
    </w:p>
    <w:p>
      <w:pPr>
        <w:spacing w:line="480" w:lineRule="exact"/>
        <w:jc w:val="center"/>
        <w:rPr>
          <w:rFonts w:hint="eastAsia" w:asciiTheme="minorEastAsia" w:hAnsiTheme="minorEastAsia" w:eastAsiaTheme="minorEastAsia" w:cstheme="minorEastAsia"/>
          <w:bCs/>
          <w:color w:val="000000"/>
          <w:sz w:val="36"/>
          <w:szCs w:val="36"/>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FFDE4"/>
    <w:multiLevelType w:val="multilevel"/>
    <w:tmpl w:val="742FFDE4"/>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21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24639"/>
    <w:rsid w:val="3EF86351"/>
    <w:rsid w:val="55AA3867"/>
    <w:rsid w:val="6922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章标题"/>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7">
    <w:name w:val="一级条标题"/>
    <w:basedOn w:val="1"/>
    <w:qFormat/>
    <w:uiPriority w:val="0"/>
    <w:pPr>
      <w:numPr>
        <w:ilvl w:val="1"/>
        <w:numId w:val="1"/>
      </w:numPr>
    </w:pPr>
  </w:style>
  <w:style w:type="paragraph" w:customStyle="1" w:styleId="8">
    <w:name w:val="二级条标题"/>
    <w:basedOn w:val="1"/>
    <w:qFormat/>
    <w:uiPriority w:val="0"/>
    <w:pPr>
      <w:numPr>
        <w:ilvl w:val="2"/>
        <w:numId w:val="1"/>
      </w:numPr>
      <w:ind w:left="210"/>
    </w:pPr>
  </w:style>
  <w:style w:type="paragraph" w:customStyle="1" w:styleId="9">
    <w:name w:val="三级条标题"/>
    <w:basedOn w:val="1"/>
    <w:qFormat/>
    <w:uiPriority w:val="0"/>
    <w:pPr>
      <w:numPr>
        <w:ilvl w:val="3"/>
        <w:numId w:val="1"/>
      </w:numPr>
    </w:pPr>
  </w:style>
  <w:style w:type="paragraph" w:customStyle="1" w:styleId="10">
    <w:name w:val="四级无"/>
    <w:basedOn w:val="1"/>
    <w:qFormat/>
    <w:uiPriority w:val="0"/>
    <w:pPr>
      <w:numPr>
        <w:ilvl w:val="4"/>
        <w:numId w:val="1"/>
      </w:numPr>
    </w:pPr>
  </w:style>
  <w:style w:type="paragraph" w:customStyle="1" w:styleId="11">
    <w:name w:val="五级无"/>
    <w:basedOn w:val="1"/>
    <w:qFormat/>
    <w:uiPriority w:val="0"/>
    <w:pPr>
      <w:numPr>
        <w:ilvl w:val="5"/>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2020-12-22T00:59:00Z</dcterms:created>
  <dc:creator>森林</dc:creator>
  <cp:lastModifiedBy>森林</cp:lastModifiedBy>
  <dcterms:modified xsi:type="dcterms:W3CDTF">2020-12-22T01:00:03Z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