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98"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sz w:val="24"/>
                <w:szCs w:val="24"/>
              </w:rPr>
            </w:pPr>
            <w:r>
              <w:rPr>
                <w:rFonts w:hint="eastAsia"/>
                <w:sz w:val="24"/>
                <w:szCs w:val="24"/>
              </w:rPr>
              <w:t>受审核部门：</w:t>
            </w:r>
            <w:r>
              <w:rPr>
                <w:rFonts w:hint="eastAsia"/>
                <w:sz w:val="24"/>
                <w:szCs w:val="24"/>
                <w:lang w:eastAsia="zh-CN"/>
              </w:rPr>
              <w:t>综合部、</w:t>
            </w:r>
            <w:r>
              <w:rPr>
                <w:rFonts w:hint="eastAsia"/>
                <w:sz w:val="24"/>
                <w:szCs w:val="24"/>
                <w:lang w:val="en-US" w:eastAsia="zh-CN"/>
              </w:rPr>
              <w:t>财务部</w:t>
            </w:r>
            <w:r>
              <w:rPr>
                <w:rFonts w:hint="eastAsia"/>
                <w:sz w:val="24"/>
                <w:szCs w:val="24"/>
              </w:rPr>
              <w:t xml:space="preserve"> </w:t>
            </w:r>
            <w:r>
              <w:rPr>
                <w:sz w:val="24"/>
                <w:szCs w:val="24"/>
              </w:rPr>
              <w:t xml:space="preserve">  </w:t>
            </w:r>
            <w:r>
              <w:rPr>
                <w:rFonts w:hint="eastAsia"/>
                <w:sz w:val="24"/>
                <w:szCs w:val="24"/>
              </w:rPr>
              <w:t xml:space="preserve">主管领导：薛宇航 </w:t>
            </w:r>
            <w:r>
              <w:rPr>
                <w:sz w:val="24"/>
                <w:szCs w:val="24"/>
              </w:rPr>
              <w:t xml:space="preserve">  </w:t>
            </w:r>
            <w:r>
              <w:rPr>
                <w:rFonts w:hint="eastAsia"/>
                <w:sz w:val="24"/>
                <w:szCs w:val="24"/>
              </w:rPr>
              <w:t>陪同人员：王子怡</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spacing w:before="120" w:line="360" w:lineRule="auto"/>
              <w:rPr>
                <w:rFonts w:hint="default" w:eastAsia="宋体"/>
                <w:sz w:val="24"/>
                <w:szCs w:val="24"/>
                <w:lang w:val="en-US" w:eastAsia="zh-CN"/>
              </w:rPr>
            </w:pPr>
            <w:r>
              <w:rPr>
                <w:rFonts w:hint="eastAsia"/>
                <w:sz w:val="24"/>
                <w:szCs w:val="24"/>
              </w:rPr>
              <w:t>审核员：林兵、</w:t>
            </w:r>
            <w:r>
              <w:rPr>
                <w:rFonts w:hint="eastAsia"/>
                <w:sz w:val="24"/>
                <w:szCs w:val="24"/>
                <w:lang w:val="en-US" w:eastAsia="zh-CN"/>
              </w:rPr>
              <w:t xml:space="preserve">郭力  </w:t>
            </w:r>
            <w:r>
              <w:rPr>
                <w:rFonts w:hint="eastAsia"/>
                <w:sz w:val="24"/>
                <w:szCs w:val="24"/>
              </w:rPr>
              <w:t>审核时间：2020年</w:t>
            </w:r>
            <w:r>
              <w:rPr>
                <w:rFonts w:hint="eastAsia"/>
                <w:sz w:val="24"/>
                <w:szCs w:val="24"/>
                <w:lang w:val="en-US" w:eastAsia="zh-CN"/>
              </w:rPr>
              <w:t>12</w:t>
            </w:r>
            <w:r>
              <w:rPr>
                <w:rFonts w:hint="eastAsia"/>
                <w:sz w:val="24"/>
                <w:szCs w:val="24"/>
              </w:rPr>
              <w:t>月</w:t>
            </w:r>
            <w:r>
              <w:rPr>
                <w:rFonts w:hint="eastAsia"/>
                <w:sz w:val="24"/>
                <w:szCs w:val="24"/>
                <w:lang w:val="en-US" w:eastAsia="zh-CN"/>
              </w:rPr>
              <w:t>20-21</w:t>
            </w:r>
            <w:r>
              <w:rPr>
                <w:rFonts w:hint="eastAsia"/>
                <w:sz w:val="24"/>
                <w:szCs w:val="24"/>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adjustRightInd w:val="0"/>
              <w:snapToGrid w:val="0"/>
              <w:spacing w:line="240" w:lineRule="auto"/>
              <w:ind w:right="105" w:rightChars="50"/>
              <w:textAlignment w:val="baseline"/>
              <w:rPr>
                <w:rFonts w:hint="eastAsia" w:ascii="宋体" w:hAnsi="宋体" w:cs="Arial"/>
                <w:color w:val="auto"/>
                <w:sz w:val="21"/>
                <w:szCs w:val="21"/>
              </w:rPr>
            </w:pPr>
            <w:r>
              <w:rPr>
                <w:rFonts w:hint="eastAsia"/>
                <w:sz w:val="24"/>
                <w:szCs w:val="24"/>
              </w:rPr>
              <w:t>审核条款</w:t>
            </w:r>
            <w:r>
              <w:rPr>
                <w:rFonts w:hint="eastAsia" w:ascii="宋体" w:hAnsi="宋体" w:cs="Arial"/>
                <w:sz w:val="21"/>
                <w:szCs w:val="21"/>
              </w:rPr>
              <w:t>Q</w:t>
            </w:r>
            <w:r>
              <w:rPr>
                <w:rFonts w:hint="eastAsia" w:ascii="宋体" w:hAnsi="宋体" w:cs="Arial"/>
                <w:sz w:val="21"/>
                <w:szCs w:val="21"/>
                <w:lang w:val="en-US" w:eastAsia="zh-CN"/>
              </w:rPr>
              <w:t>EO</w:t>
            </w:r>
            <w:r>
              <w:rPr>
                <w:rFonts w:hint="eastAsia" w:ascii="宋体" w:hAnsi="宋体" w:cs="Arial"/>
                <w:sz w:val="21"/>
                <w:szCs w:val="21"/>
              </w:rPr>
              <w:t xml:space="preserve">: </w:t>
            </w:r>
            <w:r>
              <w:rPr>
                <w:rFonts w:hint="eastAsia" w:ascii="宋体" w:hAnsi="宋体" w:cs="Arial"/>
                <w:color w:val="auto"/>
                <w:sz w:val="21"/>
                <w:szCs w:val="21"/>
              </w:rPr>
              <w:t>5.3组织的岗位、职责和权限、</w:t>
            </w:r>
            <w:r>
              <w:rPr>
                <w:rFonts w:hint="eastAsia" w:ascii="宋体" w:hAnsi="宋体" w:cs="Arial"/>
                <w:color w:val="auto"/>
                <w:spacing w:val="-6"/>
                <w:sz w:val="21"/>
                <w:szCs w:val="21"/>
              </w:rPr>
              <w:t>6.1应对风险和机遇的措施、</w:t>
            </w:r>
            <w:r>
              <w:rPr>
                <w:rFonts w:hint="eastAsia" w:ascii="宋体" w:hAnsi="宋体" w:cs="Arial"/>
                <w:color w:val="auto"/>
                <w:sz w:val="21"/>
                <w:szCs w:val="21"/>
              </w:rPr>
              <w:t>6.2质量目标</w:t>
            </w:r>
          </w:p>
          <w:p>
            <w:pPr>
              <w:adjustRightInd w:val="0"/>
              <w:snapToGrid w:val="0"/>
              <w:spacing w:line="240" w:lineRule="auto"/>
              <w:ind w:right="105" w:rightChars="50"/>
              <w:textAlignment w:val="baseline"/>
              <w:rPr>
                <w:rFonts w:ascii="宋体" w:hAnsi="宋体" w:cs="Arial"/>
                <w:color w:val="auto"/>
                <w:sz w:val="21"/>
                <w:szCs w:val="21"/>
              </w:rPr>
            </w:pPr>
            <w:r>
              <w:rPr>
                <w:rFonts w:hint="eastAsia" w:ascii="宋体" w:hAnsi="宋体" w:cs="Arial"/>
                <w:color w:val="auto"/>
                <w:sz w:val="21"/>
                <w:szCs w:val="21"/>
                <w:lang w:val="en-US" w:eastAsia="zh-CN"/>
              </w:rPr>
              <w:t>Q:</w:t>
            </w:r>
            <w:r>
              <w:rPr>
                <w:rFonts w:hint="eastAsia" w:ascii="宋体" w:hAnsi="宋体" w:cs="Arial"/>
                <w:color w:val="auto"/>
                <w:sz w:val="21"/>
                <w:szCs w:val="21"/>
              </w:rPr>
              <w:t>7.1.2人员、7.1.6组织知识、7.2能力、7.3意识、</w:t>
            </w:r>
            <w:r>
              <w:rPr>
                <w:rFonts w:hint="eastAsia" w:ascii="宋体" w:hAnsi="宋体" w:cs="Arial"/>
                <w:color w:val="auto"/>
                <w:spacing w:val="-6"/>
                <w:sz w:val="21"/>
                <w:szCs w:val="21"/>
              </w:rPr>
              <w:t>7.4沟通</w:t>
            </w:r>
            <w:r>
              <w:rPr>
                <w:rFonts w:hint="eastAsia" w:ascii="宋体" w:hAnsi="宋体" w:cs="Arial"/>
                <w:color w:val="auto"/>
                <w:spacing w:val="-6"/>
                <w:sz w:val="21"/>
                <w:szCs w:val="21"/>
                <w:lang w:eastAsia="zh-CN"/>
              </w:rPr>
              <w:t>、</w:t>
            </w:r>
            <w:r>
              <w:rPr>
                <w:rFonts w:hint="eastAsia" w:ascii="宋体" w:hAnsi="宋体" w:cs="Arial"/>
                <w:color w:val="auto"/>
                <w:sz w:val="21"/>
                <w:szCs w:val="21"/>
              </w:rPr>
              <w:t>7.5.1形成文件的信息总则、7.5.2形成文件的信息的创建和更新</w:t>
            </w:r>
            <w:r>
              <w:rPr>
                <w:rFonts w:hint="eastAsia" w:ascii="宋体" w:hAnsi="宋体" w:cs="Arial"/>
                <w:color w:val="auto"/>
                <w:spacing w:val="-6"/>
                <w:sz w:val="21"/>
                <w:szCs w:val="21"/>
              </w:rPr>
              <w:t>、7.5.3形成文件的信息的控制、8.5.6更改控制</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9.1.1监视、测量、分析和评价总则</w:t>
            </w:r>
            <w:r>
              <w:rPr>
                <w:rFonts w:hint="eastAsia" w:ascii="宋体" w:hAnsi="宋体" w:cs="Arial"/>
                <w:color w:val="auto"/>
                <w:sz w:val="21"/>
                <w:szCs w:val="21"/>
              </w:rPr>
              <w:t xml:space="preserve">、9.1.3分析与评价、10.2不合格和纠正措施， </w:t>
            </w:r>
          </w:p>
          <w:p>
            <w:pPr>
              <w:adjustRightInd w:val="0"/>
              <w:snapToGrid w:val="0"/>
              <w:spacing w:line="240" w:lineRule="auto"/>
              <w:ind w:right="105" w:rightChars="50"/>
              <w:textAlignment w:val="baseline"/>
              <w:rPr>
                <w:sz w:val="24"/>
                <w:szCs w:val="24"/>
              </w:rPr>
            </w:pPr>
            <w:r>
              <w:rPr>
                <w:rFonts w:hint="eastAsia" w:ascii="宋体" w:hAnsi="宋体" w:cs="Arial"/>
                <w:color w:val="auto"/>
                <w:sz w:val="21"/>
                <w:szCs w:val="21"/>
              </w:rPr>
              <w:t>E/O: 5.3组织的岗位、职责和权限、6.2.1环境/职业健康安全目标、6.2.2实现环境/职业健康安全目标措施的策划7.2能力、7.3意识、</w:t>
            </w:r>
            <w:r>
              <w:rPr>
                <w:rFonts w:hint="eastAsia" w:ascii="宋体" w:hAnsi="宋体" w:cs="Arial"/>
                <w:color w:val="auto"/>
                <w:spacing w:val="-6"/>
                <w:sz w:val="21"/>
                <w:szCs w:val="21"/>
              </w:rPr>
              <w:t>7.4沟通（信息交流7.4.1总则、7.4.2内部信息、7.4.3外部信息交流）</w:t>
            </w:r>
            <w:r>
              <w:rPr>
                <w:rFonts w:hint="eastAsia" w:ascii="宋体" w:hAnsi="宋体" w:cs="Arial"/>
                <w:color w:val="auto"/>
                <w:spacing w:val="-6"/>
                <w:sz w:val="21"/>
                <w:szCs w:val="21"/>
                <w:lang w:eastAsia="zh-CN"/>
              </w:rPr>
              <w:t>、</w:t>
            </w:r>
            <w:r>
              <w:rPr>
                <w:rFonts w:hint="eastAsia" w:ascii="宋体" w:hAnsi="宋体" w:cs="Arial"/>
                <w:color w:val="auto"/>
                <w:sz w:val="21"/>
                <w:szCs w:val="21"/>
              </w:rPr>
              <w:t>7.5.1形成文件的信息总则、7.5.2形成文件的信息的创建和更新、7.5.3形成文件的信息的控制、8.5.6生产和服务提供的更改控制</w:t>
            </w:r>
            <w:r>
              <w:rPr>
                <w:rFonts w:hint="eastAsia" w:ascii="宋体" w:hAnsi="宋体" w:cs="Arial"/>
                <w:color w:val="auto"/>
                <w:sz w:val="21"/>
                <w:szCs w:val="21"/>
                <w:lang w:eastAsia="zh-CN"/>
              </w:rPr>
              <w:t>、</w:t>
            </w:r>
            <w:r>
              <w:rPr>
                <w:rFonts w:hint="eastAsia" w:ascii="宋体" w:hAnsi="宋体" w:cs="Arial"/>
                <w:color w:val="auto"/>
                <w:sz w:val="21"/>
                <w:szCs w:val="21"/>
              </w:rPr>
              <w:t>9.2 内部审核、10.2不符合/事件和纠正措施</w:t>
            </w:r>
            <w:r>
              <w:rPr>
                <w:rFonts w:hint="eastAsia" w:ascii="宋体" w:hAnsi="宋体" w:cs="Arial"/>
                <w:color w:val="auto"/>
                <w:sz w:val="21"/>
                <w:szCs w:val="21"/>
                <w:lang w:eastAsia="zh-CN"/>
              </w:rPr>
              <w:t>。</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rPr>
                <w:rFonts w:ascii="宋体" w:hAnsi="宋体" w:cs="宋体"/>
                <w:szCs w:val="21"/>
              </w:rPr>
            </w:pPr>
          </w:p>
        </w:tc>
        <w:tc>
          <w:tcPr>
            <w:tcW w:w="998" w:type="dxa"/>
          </w:tcPr>
          <w:p>
            <w:pPr>
              <w:spacing w:line="360" w:lineRule="auto"/>
              <w:rPr>
                <w:rFonts w:ascii="宋体" w:hAnsi="宋体" w:cs="宋体"/>
                <w:szCs w:val="21"/>
              </w:rPr>
            </w:pPr>
            <w:r>
              <w:rPr>
                <w:rFonts w:ascii="宋体" w:cs="宋体"/>
                <w:szCs w:val="21"/>
              </w:rPr>
              <w:t>QE</w:t>
            </w:r>
            <w:r>
              <w:rPr>
                <w:szCs w:val="21"/>
              </w:rPr>
              <w:t>O</w:t>
            </w:r>
            <w:r>
              <w:rPr>
                <w:rFonts w:ascii="宋体" w:cs="宋体"/>
                <w:szCs w:val="21"/>
              </w:rPr>
              <w:t>5.3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lang w:eastAsia="zh-CN"/>
              </w:rPr>
              <w:t>综合部</w:t>
            </w:r>
            <w:r>
              <w:rPr>
                <w:rFonts w:hint="eastAsia" w:ascii="宋体" w:hAnsi="宋体" w:cs="宋体"/>
                <w:szCs w:val="21"/>
              </w:rPr>
              <w:t>按照公司领导要求，做好公司职能和岗位的具体确定，对从事供水厂运营，市政道路及基础设施的维护保养有关的管理、执行和验证人员规定其职责、权限及其相互关系，以实现公司管理方针和管理目标。</w:t>
            </w:r>
          </w:p>
          <w:p>
            <w:pPr>
              <w:spacing w:line="360" w:lineRule="auto"/>
              <w:ind w:firstLine="420" w:firstLineChars="200"/>
              <w:rPr>
                <w:rFonts w:ascii="宋体" w:hAnsi="宋体" w:cs="宋体"/>
                <w:szCs w:val="21"/>
              </w:rPr>
            </w:pPr>
            <w:r>
              <w:rPr>
                <w:rFonts w:hint="eastAsia" w:ascii="宋体" w:hAnsi="宋体" w:cs="宋体"/>
                <w:szCs w:val="21"/>
                <w:lang w:eastAsia="zh-CN"/>
              </w:rPr>
              <w:t>综合部</w:t>
            </w:r>
            <w:r>
              <w:rPr>
                <w:rFonts w:hint="eastAsia" w:ascii="宋体" w:hAnsi="宋体" w:cs="宋体"/>
                <w:szCs w:val="21"/>
              </w:rPr>
              <w:t>负责人：薛宇航。在手册中确定了</w:t>
            </w:r>
            <w:r>
              <w:rPr>
                <w:rFonts w:hint="eastAsia" w:ascii="宋体" w:hAnsi="宋体" w:cs="宋体"/>
                <w:szCs w:val="21"/>
                <w:lang w:eastAsia="zh-CN"/>
              </w:rPr>
              <w:t>综合部</w:t>
            </w:r>
            <w:r>
              <w:rPr>
                <w:rFonts w:hint="eastAsia" w:ascii="宋体" w:hAnsi="宋体" w:cs="宋体"/>
                <w:szCs w:val="21"/>
              </w:rPr>
              <w:t>的职能，人员职责、权限和相互关系。</w:t>
            </w:r>
          </w:p>
          <w:p>
            <w:pPr>
              <w:spacing w:line="360" w:lineRule="auto"/>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综合部</w:t>
            </w:r>
            <w:r>
              <w:rPr>
                <w:rFonts w:hint="eastAsia" w:ascii="宋体" w:hAnsi="宋体" w:cs="宋体"/>
                <w:szCs w:val="21"/>
              </w:rPr>
              <w:t>人员，基本清楚本部门职责。</w:t>
            </w:r>
          </w:p>
          <w:p>
            <w:pPr>
              <w:spacing w:line="360" w:lineRule="auto"/>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line="360" w:lineRule="auto"/>
            </w:pPr>
            <w:r>
              <w:rPr>
                <w:rFonts w:hint="eastAsia"/>
              </w:rPr>
              <w:t>应对风险和机遇的措施</w:t>
            </w:r>
          </w:p>
          <w:p>
            <w:pPr>
              <w:spacing w:line="360" w:lineRule="auto"/>
              <w:rPr>
                <w:rFonts w:ascii="Times New Roman" w:hAnsi="Times New Roman" w:eastAsia="宋体" w:cs="Times New Roman"/>
                <w:kern w:val="2"/>
                <w:sz w:val="21"/>
                <w:lang w:val="en-US" w:eastAsia="zh-CN" w:bidi="ar-SA"/>
              </w:rPr>
            </w:pPr>
          </w:p>
        </w:tc>
        <w:tc>
          <w:tcPr>
            <w:tcW w:w="998" w:type="dxa"/>
            <w:vAlign w:val="top"/>
          </w:tcPr>
          <w:p>
            <w:pPr>
              <w:spacing w:line="360" w:lineRule="auto"/>
            </w:pPr>
            <w:r>
              <w:rPr>
                <w:rFonts w:hint="eastAsia"/>
              </w:rPr>
              <w:t>Q6.1</w:t>
            </w:r>
          </w:p>
          <w:p>
            <w:pPr>
              <w:spacing w:line="360" w:lineRule="auto"/>
            </w:pPr>
            <w:r>
              <w:t>E6.1.1</w:t>
            </w:r>
          </w:p>
          <w:p>
            <w:pPr>
              <w:spacing w:line="360" w:lineRule="auto"/>
            </w:pPr>
            <w:r>
              <w:t>O6.1.1</w:t>
            </w:r>
          </w:p>
          <w:p>
            <w:pPr>
              <w:spacing w:line="360" w:lineRule="auto"/>
              <w:rPr>
                <w:rFonts w:ascii="Times New Roman" w:hAnsi="Times New Roman" w:eastAsia="宋体" w:cs="Times New Roman"/>
                <w:kern w:val="2"/>
                <w:sz w:val="21"/>
                <w:lang w:val="en-US" w:eastAsia="zh-CN" w:bidi="ar-SA"/>
              </w:rPr>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1.质量风险与机遇：直接产品质量风险与机遇、间接产品质量风险与机遇。</w:t>
            </w:r>
          </w:p>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环境风险与机遇：主要有自然、人文、政治、经济以及其他。</w:t>
            </w:r>
          </w:p>
          <w:p>
            <w:pPr>
              <w:spacing w:line="360" w:lineRule="auto"/>
              <w:ind w:firstLine="420" w:firstLineChars="200"/>
              <w:rPr>
                <w:rFonts w:ascii="宋体" w:hAnsi="宋体" w:cs="宋体"/>
                <w:szCs w:val="21"/>
              </w:rPr>
            </w:pPr>
            <w:r>
              <w:rPr>
                <w:rFonts w:hint="eastAsia" w:ascii="宋体" w:hAnsi="宋体" w:cs="宋体"/>
                <w:szCs w:val="21"/>
              </w:rPr>
              <w:t>3.经营风险与机遇：主要有员工、设备、供销链、技术、管理、产品、法律、专利及产权。</w:t>
            </w:r>
          </w:p>
          <w:p>
            <w:pPr>
              <w:spacing w:line="360" w:lineRule="auto"/>
              <w:ind w:firstLine="420" w:firstLineChars="200"/>
              <w:rPr>
                <w:rFonts w:ascii="宋体" w:hAnsi="宋体" w:cs="宋体"/>
                <w:szCs w:val="21"/>
              </w:rPr>
            </w:pPr>
            <w:r>
              <w:rPr>
                <w:rFonts w:hint="eastAsia" w:ascii="宋体" w:hAnsi="宋体" w:cs="宋体"/>
                <w:szCs w:val="21"/>
              </w:rPr>
              <w:t>4.市场风险与机遇：包括市场容量、竞争力、价格、促销。</w:t>
            </w:r>
          </w:p>
          <w:p>
            <w:pPr>
              <w:spacing w:line="360" w:lineRule="auto"/>
              <w:ind w:firstLine="420" w:firstLineChars="200"/>
              <w:rPr>
                <w:rFonts w:ascii="宋体" w:hAnsi="宋体" w:cs="宋体"/>
                <w:szCs w:val="21"/>
              </w:rPr>
            </w:pPr>
            <w:r>
              <w:rPr>
                <w:rFonts w:hint="eastAsia" w:ascii="宋体" w:hAnsi="宋体" w:cs="宋体"/>
                <w:szCs w:val="21"/>
              </w:rPr>
              <w:t>5.财务风险与机遇：有融资/筹资、资金偿还、资金使用、资金回收、效益分配。</w:t>
            </w:r>
          </w:p>
          <w:p>
            <w:pPr>
              <w:spacing w:line="360" w:lineRule="auto"/>
              <w:ind w:firstLine="420" w:firstLineChars="200"/>
              <w:rPr>
                <w:rFonts w:hint="eastAsia" w:ascii="宋体" w:hAnsi="宋体" w:eastAsia="宋体" w:cs="宋体"/>
                <w:kern w:val="2"/>
                <w:sz w:val="21"/>
                <w:szCs w:val="21"/>
                <w:lang w:val="en-US" w:eastAsia="zh-CN" w:bidi="ar-SA"/>
              </w:rPr>
            </w:pPr>
            <w:r>
              <w:rPr>
                <w:rFonts w:ascii="宋体" w:hAnsi="宋体" w:cs="宋体"/>
                <w:szCs w:val="21"/>
              </w:rPr>
              <w:t>6</w:t>
            </w:r>
            <w:r>
              <w:rPr>
                <w:rFonts w:hint="eastAsia" w:ascii="宋体" w:hAnsi="宋体" w:cs="宋体"/>
                <w:szCs w:val="21"/>
              </w:rPr>
              <w:t>.在策划管理体系时考虑了风险和机遇以及相应的应对措施，制定了《风险和机遇的应对控制程序》，明确风险和机遇事件的识别方法/途径、风险和机遇事件的评估方式，制定了《企业风险和机遇应对策划表》识别主要风险和机遇事件、应对措施的要求、评价措施有效性等。在管理体系所确定的过程（生产</w:t>
            </w:r>
            <w:r>
              <w:rPr>
                <w:rFonts w:hint="eastAsia" w:ascii="宋体" w:hAnsi="宋体" w:cs="宋体"/>
                <w:szCs w:val="21"/>
                <w:lang w:val="en-US" w:eastAsia="zh-CN"/>
              </w:rPr>
              <w:t>服务</w:t>
            </w:r>
            <w:r>
              <w:rPr>
                <w:rFonts w:hint="eastAsia" w:ascii="宋体" w:hAnsi="宋体" w:cs="宋体"/>
                <w:szCs w:val="21"/>
              </w:rPr>
              <w:t>、供应商的要求等）中，整合制定针对性管理措施（如程序控制等）。提供了“企业风险和机遇应当策划表”，已认真对市场与经营环境风险、重大投资决策失误、采购质量分析、运营规划不当等，主要措施参加行业会议收集行业政策，分析市场环境；每年度公司对生产规模、投资决策企业发展方向根据实际情况召开中层会议讨论作出决策；新购设备，设备技改等，要求项目部相关人员制定方案，采取多方比较，综合考虑；应对措施效果待观察。</w:t>
            </w:r>
          </w:p>
        </w:tc>
        <w:tc>
          <w:tcPr>
            <w:tcW w:w="1585"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管理目标及其实现的策划</w:t>
            </w:r>
          </w:p>
          <w:p>
            <w:pPr>
              <w:spacing w:line="360" w:lineRule="auto"/>
              <w:rPr>
                <w:rFonts w:ascii="宋体" w:hAnsi="宋体" w:cs="宋体"/>
                <w:szCs w:val="21"/>
              </w:rPr>
            </w:pPr>
          </w:p>
        </w:tc>
        <w:tc>
          <w:tcPr>
            <w:tcW w:w="998" w:type="dxa"/>
          </w:tcPr>
          <w:p>
            <w:pPr>
              <w:spacing w:line="360" w:lineRule="auto"/>
              <w:rPr>
                <w:szCs w:val="21"/>
              </w:rPr>
            </w:pPr>
            <w:r>
              <w:rPr>
                <w:rFonts w:hint="eastAsia"/>
                <w:szCs w:val="21"/>
              </w:rPr>
              <w:t>Q6.2</w:t>
            </w:r>
          </w:p>
          <w:p>
            <w:pPr>
              <w:spacing w:line="360" w:lineRule="auto"/>
              <w:rPr>
                <w:szCs w:val="21"/>
              </w:rPr>
            </w:pPr>
            <w:r>
              <w:rPr>
                <w:rFonts w:hint="eastAsia"/>
                <w:szCs w:val="21"/>
              </w:rPr>
              <w:t>E</w:t>
            </w:r>
            <w:r>
              <w:rPr>
                <w:szCs w:val="21"/>
              </w:rPr>
              <w:t>O</w:t>
            </w:r>
            <w:r>
              <w:rPr>
                <w:rFonts w:hint="eastAsia"/>
                <w:szCs w:val="21"/>
              </w:rPr>
              <w:t>6.2.1</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360" w:lineRule="auto"/>
              <w:ind w:firstLine="420" w:firstLineChars="200"/>
              <w:rPr>
                <w:rFonts w:ascii="宋体" w:hAnsi="宋体" w:cs="宋体"/>
                <w:szCs w:val="21"/>
              </w:rPr>
            </w:pPr>
            <w:r>
              <w:rPr>
                <w:rFonts w:hint="eastAsia" w:ascii="宋体" w:hAnsi="宋体" w:cs="宋体"/>
                <w:szCs w:val="21"/>
                <w:lang w:eastAsia="zh-CN"/>
              </w:rPr>
              <w:t>综合部</w:t>
            </w:r>
            <w:r>
              <w:rPr>
                <w:rFonts w:hint="eastAsia" w:ascii="宋体" w:hAnsi="宋体" w:cs="宋体"/>
                <w:szCs w:val="21"/>
              </w:rPr>
              <w:t>涉及的目标及实现情况是：</w:t>
            </w:r>
          </w:p>
          <w:p>
            <w:pPr>
              <w:spacing w:line="360" w:lineRule="auto"/>
              <w:ind w:firstLine="420" w:firstLineChars="200"/>
              <w:rPr>
                <w:rFonts w:ascii="宋体" w:hAnsi="宋体" w:cs="宋体"/>
                <w:szCs w:val="21"/>
              </w:rPr>
            </w:pPr>
            <w:r>
              <w:drawing>
                <wp:inline distT="0" distB="0" distL="114300" distR="114300">
                  <wp:extent cx="5039360" cy="1600200"/>
                  <wp:effectExtent l="0" t="0" r="25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039360" cy="1600200"/>
                          </a:xfrm>
                          <a:prstGeom prst="rect">
                            <a:avLst/>
                          </a:prstGeom>
                          <a:noFill/>
                          <a:ln>
                            <a:noFill/>
                          </a:ln>
                        </pic:spPr>
                      </pic:pic>
                    </a:graphicData>
                  </a:graphic>
                </wp:inline>
              </w:drawing>
            </w:r>
          </w:p>
          <w:p>
            <w:pPr>
              <w:spacing w:line="360" w:lineRule="auto"/>
              <w:ind w:firstLine="420" w:firstLineChars="200"/>
              <w:rPr>
                <w:rFonts w:ascii="宋体" w:hAnsi="宋体" w:cs="宋体"/>
                <w:szCs w:val="21"/>
              </w:rPr>
            </w:pPr>
            <w:r>
              <w:rPr>
                <w:rFonts w:hint="eastAsia" w:ascii="宋体" w:hAnsi="宋体" w:cs="宋体"/>
                <w:szCs w:val="21"/>
              </w:rPr>
              <w:t>目标可测量，与公司管理方针一致。有实施落实的方案， 根据</w:t>
            </w:r>
            <w:r>
              <w:rPr>
                <w:rFonts w:hint="eastAsia" w:ascii="宋体" w:hAnsi="宋体" w:cs="宋体"/>
                <w:szCs w:val="21"/>
                <w:lang w:val="en-US" w:eastAsia="zh-CN"/>
              </w:rPr>
              <w:t>12</w:t>
            </w:r>
            <w:r>
              <w:rPr>
                <w:rFonts w:hint="eastAsia" w:ascii="宋体" w:hAnsi="宋体" w:cs="宋体"/>
                <w:szCs w:val="21"/>
              </w:rPr>
              <w:t>月</w:t>
            </w:r>
            <w:r>
              <w:rPr>
                <w:rFonts w:ascii="宋体" w:hAnsi="宋体" w:cs="宋体"/>
                <w:szCs w:val="21"/>
              </w:rPr>
              <w:t>1</w:t>
            </w:r>
            <w:r>
              <w:rPr>
                <w:rFonts w:hint="eastAsia" w:ascii="宋体" w:hAnsi="宋体" w:cs="宋体"/>
                <w:szCs w:val="21"/>
              </w:rPr>
              <w:t>日统计结果，目标均已完成。</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环境/职业健康安全目标实现措施策划</w:t>
            </w:r>
          </w:p>
        </w:tc>
        <w:tc>
          <w:tcPr>
            <w:tcW w:w="998" w:type="dxa"/>
          </w:tcPr>
          <w:p>
            <w:pPr>
              <w:spacing w:line="360" w:lineRule="auto"/>
              <w:rPr>
                <w:szCs w:val="21"/>
              </w:rPr>
            </w:pPr>
            <w:r>
              <w:rPr>
                <w:rFonts w:hint="eastAsia"/>
                <w:szCs w:val="21"/>
              </w:rPr>
              <w:t>E</w:t>
            </w:r>
            <w:r>
              <w:rPr>
                <w:szCs w:val="21"/>
              </w:rPr>
              <w:t>O</w:t>
            </w:r>
            <w:r>
              <w:rPr>
                <w:rFonts w:hint="eastAsia"/>
                <w:szCs w:val="21"/>
              </w:rPr>
              <w:t>6.2.2</w:t>
            </w:r>
          </w:p>
        </w:tc>
        <w:tc>
          <w:tcPr>
            <w:tcW w:w="10004" w:type="dxa"/>
            <w:vAlign w:val="center"/>
          </w:tcPr>
          <w:p>
            <w:pPr>
              <w:spacing w:line="360" w:lineRule="auto"/>
              <w:ind w:firstLine="420" w:firstLineChars="200"/>
              <w:rPr>
                <w:rFonts w:ascii="宋体" w:hAnsi="宋体" w:cs="宋体"/>
                <w:szCs w:val="21"/>
              </w:rPr>
            </w:pPr>
            <w:r>
              <w:rPr>
                <w:rFonts w:hint="eastAsia"/>
                <w:szCs w:val="21"/>
              </w:rPr>
              <w:t>按</w:t>
            </w:r>
            <w:r>
              <w:rPr>
                <w:rFonts w:hint="eastAsia" w:ascii="宋体" w:hAnsi="宋体" w:cs="宋体"/>
                <w:szCs w:val="21"/>
              </w:rPr>
              <w:t>《环境因素识别和评价管理程序》和《危险源辨识与风险评价控制措施管理程序》</w:t>
            </w:r>
            <w:r>
              <w:rPr>
                <w:rFonts w:hint="eastAsia"/>
                <w:szCs w:val="21"/>
              </w:rPr>
              <w:t>识别的重要环境因素和重大危险制定管理措施，制定</w:t>
            </w:r>
            <w:r>
              <w:rPr>
                <w:rFonts w:hint="eastAsia" w:ascii="宋体" w:hAnsi="宋体" w:cs="宋体"/>
                <w:szCs w:val="21"/>
              </w:rPr>
              <w:t>《对相关方施加影响管理程序》等文件；由</w:t>
            </w:r>
            <w:r>
              <w:rPr>
                <w:rFonts w:hint="eastAsia" w:ascii="宋体" w:hAnsi="宋体" w:cs="宋体"/>
                <w:szCs w:val="21"/>
                <w:lang w:eastAsia="zh-CN"/>
              </w:rPr>
              <w:t>综合部</w:t>
            </w:r>
            <w:r>
              <w:rPr>
                <w:rFonts w:hint="eastAsia" w:ascii="宋体" w:hAnsi="宋体" w:cs="宋体"/>
                <w:szCs w:val="21"/>
              </w:rPr>
              <w:t>统一管理。基本不涉及重大法规要求的不可接受的环境和安全风险。未制定针对性的管理措施和方案。</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人员</w:t>
            </w:r>
          </w:p>
          <w:p>
            <w:pPr>
              <w:spacing w:line="360" w:lineRule="auto"/>
              <w:rPr>
                <w:b/>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Q7.1.2</w:t>
            </w:r>
          </w:p>
          <w:p>
            <w:pPr>
              <w:spacing w:line="360" w:lineRule="auto"/>
              <w:rPr>
                <w:b/>
                <w:szCs w:val="21"/>
              </w:rPr>
            </w:pPr>
          </w:p>
        </w:tc>
        <w:tc>
          <w:tcPr>
            <w:tcW w:w="10004" w:type="dxa"/>
            <w:vAlign w:val="center"/>
          </w:tcPr>
          <w:p>
            <w:pPr>
              <w:spacing w:line="360" w:lineRule="auto"/>
              <w:ind w:firstLine="420" w:firstLineChars="200"/>
              <w:rPr>
                <w:szCs w:val="21"/>
              </w:rPr>
            </w:pPr>
            <w:r>
              <w:rPr>
                <w:rFonts w:hint="eastAsia"/>
                <w:szCs w:val="21"/>
                <w:lang w:eastAsia="zh-CN"/>
              </w:rPr>
              <w:t>综合部</w:t>
            </w:r>
            <w:r>
              <w:rPr>
                <w:rFonts w:hint="eastAsia"/>
                <w:szCs w:val="21"/>
              </w:rPr>
              <w:t>根据各部门的需要配备管理体系运行所需的人员，任命内审员</w:t>
            </w:r>
            <w:r>
              <w:rPr>
                <w:szCs w:val="21"/>
              </w:rPr>
              <w:t>2</w:t>
            </w:r>
            <w:r>
              <w:rPr>
                <w:rFonts w:hint="eastAsia"/>
                <w:szCs w:val="21"/>
              </w:rPr>
              <w:t>名，均经过相关培训，有公司任命证书。查有《人力资源控制程序》并制定有相关人员的职责和权限相关文件化信息确定并对配备所需的人员资源，各级各层人员能力、意识、岗位定员、部门人员职责、权限、相互关系等进行了清晰要求并做了沟通，以有效实施体系并运行和控制其过程。</w:t>
            </w:r>
          </w:p>
          <w:p>
            <w:pPr>
              <w:spacing w:line="360" w:lineRule="auto"/>
              <w:rPr>
                <w:szCs w:val="21"/>
              </w:rPr>
            </w:pPr>
            <w:r>
              <w:rPr>
                <w:rFonts w:hint="eastAsia"/>
                <w:szCs w:val="21"/>
              </w:rPr>
              <w:t>提供有员工花名册，目前公司共有员工</w:t>
            </w:r>
            <w:r>
              <w:rPr>
                <w:rFonts w:hint="eastAsia"/>
                <w:szCs w:val="21"/>
                <w:lang w:val="en-US" w:eastAsia="zh-CN"/>
              </w:rPr>
              <w:t>35</w:t>
            </w:r>
            <w:r>
              <w:rPr>
                <w:rFonts w:hint="eastAsia"/>
                <w:szCs w:val="21"/>
              </w:rPr>
              <w:t>人，各部门人员配备基本充分，基本符合要求。</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组织的知识</w:t>
            </w:r>
          </w:p>
          <w:p>
            <w:pPr>
              <w:spacing w:line="360" w:lineRule="auto"/>
              <w:rPr>
                <w:b/>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Q7.1.6</w:t>
            </w:r>
          </w:p>
          <w:p>
            <w:pPr>
              <w:spacing w:line="360" w:lineRule="auto"/>
              <w:rPr>
                <w:b/>
                <w:szCs w:val="21"/>
              </w:rPr>
            </w:pPr>
          </w:p>
        </w:tc>
        <w:tc>
          <w:tcPr>
            <w:tcW w:w="10004" w:type="dxa"/>
            <w:vAlign w:val="center"/>
          </w:tcPr>
          <w:p>
            <w:pPr>
              <w:spacing w:line="360" w:lineRule="auto"/>
              <w:rPr>
                <w:rFonts w:ascii="宋体" w:hAnsi="宋体" w:cs="宋体"/>
                <w:color w:val="000000"/>
                <w:kern w:val="0"/>
                <w:szCs w:val="21"/>
              </w:rPr>
            </w:pPr>
            <w:r>
              <w:rPr>
                <w:rFonts w:hint="eastAsia" w:ascii="宋体" w:hAnsi="宋体" w:cs="宋体"/>
                <w:color w:val="000000"/>
                <w:kern w:val="0"/>
                <w:szCs w:val="21"/>
              </w:rPr>
              <w:t xml:space="preserve">  公司确定运行过程所需的知识。内部来源包括：公司信息（管理手册、程序文件、管理制度等）、专业技术知识等；外部来源包括：外来资料（如供应商、用户和竞争对手等利益相关者的动向报告、专家、顾客意见的采集、技术动态的跟踪）、市场信息等。</w:t>
            </w:r>
          </w:p>
          <w:p>
            <w:pPr>
              <w:spacing w:line="360" w:lineRule="auto"/>
              <w:ind w:firstLine="420" w:firstLineChars="200"/>
              <w:rPr>
                <w:b/>
                <w:szCs w:val="21"/>
              </w:rPr>
            </w:pPr>
            <w:r>
              <w:rPr>
                <w:rFonts w:hint="eastAsia" w:ascii="宋体" w:hAnsi="宋体" w:cs="宋体"/>
                <w:color w:val="000000"/>
                <w:kern w:val="0"/>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能力</w:t>
            </w:r>
          </w:p>
          <w:p>
            <w:pPr>
              <w:spacing w:line="360" w:lineRule="auto"/>
              <w:rPr>
                <w:b/>
                <w:szCs w:val="21"/>
              </w:rPr>
            </w:pPr>
          </w:p>
        </w:tc>
        <w:tc>
          <w:tcPr>
            <w:tcW w:w="998" w:type="dxa"/>
          </w:tcPr>
          <w:p>
            <w:pPr>
              <w:spacing w:line="360" w:lineRule="auto"/>
              <w:rPr>
                <w:b/>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rPr>
              <w:t>7.2</w:t>
            </w:r>
          </w:p>
        </w:tc>
        <w:tc>
          <w:tcPr>
            <w:tcW w:w="10004" w:type="dxa"/>
            <w:vAlign w:val="center"/>
          </w:tcPr>
          <w:p>
            <w:pPr>
              <w:spacing w:line="360" w:lineRule="auto"/>
              <w:rPr>
                <w:rFonts w:ascii="宋体" w:hAnsi="宋体" w:cs="宋体"/>
                <w:color w:val="000000"/>
                <w:kern w:val="0"/>
                <w:szCs w:val="21"/>
              </w:rPr>
            </w:pPr>
            <w:r>
              <w:rPr>
                <w:rFonts w:hint="eastAsia" w:ascii="宋体" w:hAnsi="宋体" w:cs="宋体"/>
                <w:color w:val="000000"/>
                <w:kern w:val="0"/>
                <w:szCs w:val="21"/>
              </w:rPr>
              <w:t>公司对各岗位能力规定的要求包括了专业技能、岗位资格、能力、工作经验等。对人员素质必须满足任职要求，确定受其控制的工作人员所需具备的能力，岗位全过程操作人员的能力确定，主要是经培训、合格上岗，基于适当的教育、培训或经历，确保这些人员是胜任。查有：人员能力要求资格确认表，公司经识别，设计过程为关键过程，对人员岗位人员能力进行了资格确认，均有评审结果，基本符合要求。</w:t>
            </w:r>
          </w:p>
          <w:p>
            <w:pPr>
              <w:spacing w:line="360" w:lineRule="auto"/>
              <w:rPr>
                <w:rFonts w:ascii="宋体" w:hAnsi="宋体" w:cs="宋体"/>
                <w:color w:val="000000"/>
                <w:kern w:val="0"/>
                <w:szCs w:val="21"/>
              </w:rPr>
            </w:pPr>
            <w:r>
              <w:rPr>
                <w:rFonts w:hint="eastAsia" w:ascii="宋体" w:hAnsi="宋体" w:cs="宋体"/>
                <w:color w:val="000000"/>
                <w:kern w:val="0"/>
                <w:szCs w:val="21"/>
              </w:rPr>
              <w:t>查看“</w:t>
            </w:r>
            <w:r>
              <w:rPr>
                <w:rFonts w:hint="eastAsia" w:ascii="宋体" w:hAnsi="宋体" w:cs="宋体"/>
                <w:color w:val="000000"/>
                <w:kern w:val="0"/>
                <w:szCs w:val="21"/>
                <w:lang w:val="en-US" w:eastAsia="zh-CN"/>
              </w:rPr>
              <w:t>2019-</w:t>
            </w:r>
            <w:r>
              <w:rPr>
                <w:rFonts w:hint="eastAsia" w:ascii="宋体" w:hAnsi="宋体" w:cs="宋体"/>
                <w:color w:val="000000"/>
                <w:kern w:val="0"/>
                <w:szCs w:val="21"/>
              </w:rPr>
              <w:t>20</w:t>
            </w:r>
            <w:r>
              <w:rPr>
                <w:rFonts w:ascii="宋体" w:hAnsi="宋体" w:cs="宋体"/>
                <w:color w:val="000000"/>
                <w:kern w:val="0"/>
                <w:szCs w:val="21"/>
              </w:rPr>
              <w:t>20</w:t>
            </w:r>
            <w:r>
              <w:rPr>
                <w:rFonts w:hint="eastAsia" w:ascii="宋体" w:hAnsi="宋体" w:cs="宋体"/>
                <w:color w:val="000000"/>
                <w:kern w:val="0"/>
                <w:szCs w:val="21"/>
              </w:rPr>
              <w:t>年培训计划”，内容包括质量、环境、安全基础知识培训。列入了培训计划内容如：管理评审知识、管理体系文件培训、安全知识等。查有：培训记录/评价表、培训试题等。</w:t>
            </w:r>
          </w:p>
          <w:p>
            <w:pPr>
              <w:spacing w:line="360" w:lineRule="auto"/>
              <w:rPr>
                <w:rFonts w:ascii="宋体" w:hAnsi="宋体" w:cs="宋体"/>
                <w:color w:val="000000"/>
                <w:kern w:val="0"/>
                <w:szCs w:val="21"/>
              </w:rPr>
            </w:pPr>
            <w:r>
              <w:rPr>
                <w:rFonts w:hint="eastAsia" w:ascii="宋体" w:hAnsi="宋体" w:cs="宋体"/>
                <w:color w:val="000000"/>
                <w:kern w:val="0"/>
                <w:szCs w:val="21"/>
              </w:rPr>
              <w:t>抽查《培训记录/评价表》：</w:t>
            </w:r>
          </w:p>
          <w:p>
            <w:pPr>
              <w:spacing w:line="360" w:lineRule="auto"/>
              <w:rPr>
                <w:rFonts w:ascii="宋体" w:hAnsi="宋体" w:cs="宋体"/>
                <w:color w:val="000000"/>
                <w:kern w:val="0"/>
                <w:szCs w:val="21"/>
              </w:rPr>
            </w:pPr>
            <w:r>
              <w:rPr>
                <w:rFonts w:hint="eastAsia" w:ascii="宋体" w:hAnsi="宋体" w:cs="宋体"/>
                <w:color w:val="000000"/>
                <w:kern w:val="0"/>
                <w:szCs w:val="21"/>
              </w:rPr>
              <w:t>1、20</w:t>
            </w:r>
            <w:r>
              <w:rPr>
                <w:rFonts w:hint="eastAsia" w:ascii="宋体" w:hAnsi="宋体" w:cs="宋体"/>
                <w:color w:val="000000"/>
                <w:kern w:val="0"/>
                <w:szCs w:val="21"/>
                <w:lang w:val="en-US" w:eastAsia="zh-CN"/>
              </w:rPr>
              <w:t>19</w:t>
            </w:r>
            <w:r>
              <w:rPr>
                <w:rFonts w:hint="eastAsia" w:ascii="宋体" w:hAnsi="宋体" w:cs="宋体"/>
                <w:color w:val="000000"/>
                <w:kern w:val="0"/>
                <w:szCs w:val="21"/>
              </w:rPr>
              <w:t>-</w:t>
            </w:r>
            <w:r>
              <w:rPr>
                <w:rFonts w:hint="eastAsia" w:ascii="宋体" w:hAnsi="宋体" w:cs="宋体"/>
                <w:color w:val="000000"/>
                <w:kern w:val="0"/>
                <w:szCs w:val="21"/>
                <w:lang w:val="en-US" w:eastAsia="zh-CN"/>
              </w:rPr>
              <w:t>12</w:t>
            </w:r>
            <w:r>
              <w:rPr>
                <w:rFonts w:hint="eastAsia" w:ascii="宋体" w:hAnsi="宋体" w:cs="宋体"/>
                <w:color w:val="000000"/>
                <w:kern w:val="0"/>
                <w:szCs w:val="21"/>
              </w:rPr>
              <w:t>-</w:t>
            </w:r>
            <w:r>
              <w:rPr>
                <w:rFonts w:hint="eastAsia" w:ascii="宋体" w:hAnsi="宋体" w:cs="宋体"/>
                <w:color w:val="000000"/>
                <w:kern w:val="0"/>
                <w:szCs w:val="21"/>
                <w:lang w:val="en-US" w:eastAsia="zh-CN"/>
              </w:rPr>
              <w:t>5-7</w:t>
            </w:r>
            <w:r>
              <w:rPr>
                <w:rFonts w:hint="eastAsia" w:ascii="宋体" w:hAnsi="宋体" w:cs="宋体"/>
                <w:color w:val="000000"/>
                <w:kern w:val="0"/>
                <w:szCs w:val="21"/>
              </w:rPr>
              <w:t>：对管理体系文件进行了培训。培训老师：</w:t>
            </w:r>
            <w:r>
              <w:rPr>
                <w:rFonts w:hint="eastAsia" w:ascii="宋体" w:hAnsi="宋体" w:cs="宋体"/>
                <w:color w:val="000000"/>
                <w:kern w:val="0"/>
                <w:szCs w:val="21"/>
                <w:lang w:val="en-US" w:eastAsia="zh-CN"/>
              </w:rPr>
              <w:t>胡老师</w:t>
            </w:r>
            <w:r>
              <w:rPr>
                <w:rFonts w:hint="eastAsia" w:ascii="宋体" w:hAnsi="宋体" w:cs="宋体"/>
                <w:color w:val="000000"/>
                <w:kern w:val="0"/>
                <w:szCs w:val="21"/>
              </w:rPr>
              <w:t>，参加人员：各部门人员等。通过口试对理解情况进行考核，考核结果：全部通过。验证人：</w:t>
            </w:r>
            <w:r>
              <w:rPr>
                <w:rFonts w:hint="eastAsia" w:ascii="宋体" w:hAnsi="宋体" w:cs="宋体"/>
                <w:color w:val="000000"/>
                <w:kern w:val="0"/>
                <w:szCs w:val="21"/>
                <w:lang w:val="en-US" w:eastAsia="zh-CN"/>
              </w:rPr>
              <w:t>高翡</w:t>
            </w:r>
            <w:r>
              <w:rPr>
                <w:rFonts w:hint="eastAsia" w:ascii="宋体" w:hAnsi="宋体" w:cs="宋体"/>
                <w:color w:val="000000"/>
                <w:kern w:val="0"/>
                <w:szCs w:val="21"/>
              </w:rPr>
              <w:t>。</w:t>
            </w:r>
          </w:p>
          <w:p>
            <w:pPr>
              <w:spacing w:line="360" w:lineRule="auto"/>
              <w:rPr>
                <w:rFonts w:ascii="宋体" w:hAnsi="宋体" w:cs="宋体"/>
                <w:color w:val="000000"/>
                <w:kern w:val="0"/>
                <w:szCs w:val="21"/>
              </w:rPr>
            </w:pPr>
            <w:r>
              <w:rPr>
                <w:rFonts w:hint="eastAsia" w:ascii="宋体" w:hAnsi="宋体" w:cs="宋体"/>
                <w:color w:val="000000"/>
                <w:kern w:val="0"/>
                <w:szCs w:val="21"/>
              </w:rPr>
              <w:t>2、20</w:t>
            </w:r>
            <w:r>
              <w:rPr>
                <w:rFonts w:ascii="宋体" w:hAnsi="宋体" w:cs="宋体"/>
                <w:color w:val="000000"/>
                <w:kern w:val="0"/>
                <w:szCs w:val="21"/>
              </w:rPr>
              <w:t>20</w:t>
            </w:r>
            <w:r>
              <w:rPr>
                <w:rFonts w:hint="eastAsia" w:ascii="宋体" w:hAnsi="宋体" w:cs="宋体"/>
                <w:color w:val="000000"/>
                <w:kern w:val="0"/>
                <w:szCs w:val="21"/>
              </w:rPr>
              <w:t>-</w:t>
            </w:r>
            <w:r>
              <w:rPr>
                <w:rFonts w:hint="eastAsia" w:ascii="宋体" w:hAnsi="宋体" w:cs="宋体"/>
                <w:color w:val="000000"/>
                <w:kern w:val="0"/>
                <w:szCs w:val="21"/>
                <w:lang w:val="en-US" w:eastAsia="zh-CN"/>
              </w:rPr>
              <w:t>5</w:t>
            </w:r>
            <w:r>
              <w:rPr>
                <w:rFonts w:hint="eastAsia" w:ascii="宋体" w:hAnsi="宋体" w:cs="宋体"/>
                <w:color w:val="000000"/>
                <w:kern w:val="0"/>
                <w:szCs w:val="21"/>
              </w:rPr>
              <w:t>-</w:t>
            </w:r>
            <w:r>
              <w:rPr>
                <w:rFonts w:hint="eastAsia" w:ascii="宋体" w:hAnsi="宋体" w:cs="宋体"/>
                <w:color w:val="000000"/>
                <w:kern w:val="0"/>
                <w:szCs w:val="21"/>
                <w:lang w:val="en-US" w:eastAsia="zh-CN"/>
              </w:rPr>
              <w:t>15</w:t>
            </w:r>
            <w:r>
              <w:rPr>
                <w:rFonts w:hint="eastAsia" w:ascii="宋体" w:hAnsi="宋体" w:cs="宋体"/>
                <w:color w:val="000000"/>
                <w:kern w:val="0"/>
                <w:szCs w:val="21"/>
              </w:rPr>
              <w:t>：对环境及安全防护知识进行培训，培训老师：</w:t>
            </w:r>
            <w:r>
              <w:rPr>
                <w:rFonts w:hint="eastAsia" w:ascii="宋体" w:hAnsi="宋体" w:cs="宋体"/>
                <w:color w:val="000000"/>
                <w:kern w:val="0"/>
                <w:szCs w:val="21"/>
                <w:lang w:val="en-US" w:eastAsia="zh-CN"/>
              </w:rPr>
              <w:t>高翡</w:t>
            </w:r>
            <w:r>
              <w:rPr>
                <w:rFonts w:hint="eastAsia" w:ascii="宋体" w:hAnsi="宋体" w:cs="宋体"/>
                <w:color w:val="000000"/>
                <w:kern w:val="0"/>
                <w:szCs w:val="21"/>
              </w:rPr>
              <w:t>。参加人：各部门人员等。通过口试对理解情况进行考核，考核结果：全部通过。验证人：</w:t>
            </w:r>
            <w:r>
              <w:rPr>
                <w:rFonts w:hint="eastAsia" w:ascii="宋体" w:hAnsi="宋体" w:cs="宋体"/>
                <w:color w:val="000000"/>
                <w:kern w:val="0"/>
                <w:szCs w:val="21"/>
                <w:lang w:val="en-US" w:eastAsia="zh-CN"/>
              </w:rPr>
              <w:t>高翡</w:t>
            </w:r>
            <w:r>
              <w:rPr>
                <w:rFonts w:hint="eastAsia" w:ascii="宋体" w:hAnsi="宋体" w:cs="宋体"/>
                <w:color w:val="000000"/>
                <w:kern w:val="0"/>
                <w:szCs w:val="21"/>
              </w:rPr>
              <w:t>。</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意识</w:t>
            </w:r>
          </w:p>
          <w:p>
            <w:pPr>
              <w:spacing w:line="360" w:lineRule="auto"/>
              <w:rPr>
                <w:b/>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QE7.3</w:t>
            </w:r>
          </w:p>
          <w:p>
            <w:pPr>
              <w:spacing w:line="360" w:lineRule="auto"/>
              <w:rPr>
                <w:b/>
                <w:szCs w:val="21"/>
              </w:rPr>
            </w:pPr>
          </w:p>
        </w:tc>
        <w:tc>
          <w:tcPr>
            <w:tcW w:w="10004" w:type="dxa"/>
            <w:vAlign w:val="center"/>
          </w:tcPr>
          <w:p>
            <w:pPr>
              <w:spacing w:line="360" w:lineRule="auto"/>
              <w:ind w:firstLine="420" w:firstLineChars="200"/>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b/>
                <w:szCs w:val="21"/>
              </w:rPr>
            </w:pPr>
            <w:r>
              <w:rPr>
                <w:rFonts w:hint="eastAsia"/>
                <w:szCs w:val="21"/>
              </w:rPr>
              <w:t>询问</w:t>
            </w:r>
            <w:r>
              <w:rPr>
                <w:rFonts w:hint="eastAsia"/>
                <w:szCs w:val="21"/>
                <w:lang w:eastAsia="zh-CN"/>
              </w:rPr>
              <w:t>综合部</w:t>
            </w:r>
            <w:r>
              <w:rPr>
                <w:rFonts w:hint="eastAsia"/>
                <w:szCs w:val="21"/>
              </w:rPr>
              <w:t>李亚男知道公司方针，知道所在的工作岗位的质量、环境、职业健康安全目标，也了解自己的工作好坏会影响组织资质量、环境、职业健康安全管理体系的有效运行。</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vAlign w:val="top"/>
          </w:tcPr>
          <w:p>
            <w:pPr>
              <w:spacing w:line="360" w:lineRule="auto"/>
              <w:rPr>
                <w:u w:val="none"/>
              </w:rPr>
            </w:pPr>
            <w:r>
              <w:rPr>
                <w:rFonts w:hint="eastAsia"/>
                <w:u w:val="none"/>
              </w:rPr>
              <w:t>沟通</w:t>
            </w:r>
          </w:p>
          <w:p>
            <w:pPr>
              <w:spacing w:line="360" w:lineRule="auto"/>
              <w:rPr>
                <w:rFonts w:ascii="Times New Roman" w:hAnsi="Times New Roman" w:eastAsia="宋体" w:cs="Times New Roman"/>
                <w:kern w:val="2"/>
                <w:sz w:val="21"/>
                <w:u w:val="none"/>
                <w:lang w:val="en-US" w:eastAsia="zh-CN" w:bidi="ar-SA"/>
              </w:rPr>
            </w:pPr>
          </w:p>
        </w:tc>
        <w:tc>
          <w:tcPr>
            <w:tcW w:w="998" w:type="dxa"/>
            <w:vAlign w:val="top"/>
          </w:tcPr>
          <w:p>
            <w:pPr>
              <w:spacing w:line="360" w:lineRule="auto"/>
              <w:rPr>
                <w:rFonts w:ascii="Times New Roman" w:hAnsi="Times New Roman" w:eastAsia="宋体" w:cs="Times New Roman"/>
                <w:kern w:val="2"/>
                <w:sz w:val="21"/>
                <w:u w:val="none"/>
                <w:lang w:val="en-US" w:eastAsia="zh-CN" w:bidi="ar-SA"/>
              </w:rPr>
            </w:pPr>
            <w:r>
              <w:rPr>
                <w:rFonts w:hint="eastAsia"/>
                <w:u w:val="none"/>
              </w:rPr>
              <w:t>QE</w:t>
            </w:r>
            <w:r>
              <w:rPr>
                <w:u w:val="none"/>
              </w:rPr>
              <w:t>O</w:t>
            </w:r>
            <w:r>
              <w:rPr>
                <w:rFonts w:hint="eastAsia"/>
                <w:u w:val="none"/>
              </w:rPr>
              <w:t>7.4</w:t>
            </w:r>
          </w:p>
        </w:tc>
        <w:tc>
          <w:tcPr>
            <w:tcW w:w="10004" w:type="dxa"/>
            <w:vAlign w:val="center"/>
          </w:tcPr>
          <w:p>
            <w:pPr>
              <w:spacing w:line="360" w:lineRule="auto"/>
              <w:ind w:firstLine="420" w:firstLineChars="200"/>
              <w:rPr>
                <w:szCs w:val="21"/>
                <w:u w:val="none"/>
              </w:rPr>
            </w:pPr>
            <w:r>
              <w:rPr>
                <w:rFonts w:hint="eastAsia"/>
                <w:szCs w:val="21"/>
                <w:u w:val="none"/>
              </w:rPr>
              <w:t>公司编制并实施了《信息交流</w:t>
            </w:r>
            <w:r>
              <w:rPr>
                <w:rFonts w:hint="eastAsia"/>
                <w:szCs w:val="21"/>
                <w:u w:val="none"/>
                <w:lang w:val="en-US" w:eastAsia="zh-CN"/>
              </w:rPr>
              <w:t>控制</w:t>
            </w:r>
            <w:r>
              <w:rPr>
                <w:rFonts w:hint="eastAsia"/>
                <w:szCs w:val="21"/>
                <w:u w:val="none"/>
              </w:rPr>
              <w:t>程序》，规定了职责、工作流程，包括内部沟通和外部沟通的方法和要求。</w:t>
            </w:r>
          </w:p>
          <w:p>
            <w:pPr>
              <w:spacing w:line="360" w:lineRule="auto"/>
              <w:ind w:firstLine="420" w:firstLineChars="200"/>
              <w:rPr>
                <w:szCs w:val="21"/>
                <w:u w:val="none"/>
              </w:rPr>
            </w:pPr>
            <w:r>
              <w:rPr>
                <w:rFonts w:hint="eastAsia"/>
                <w:szCs w:val="21"/>
                <w:u w:val="none"/>
              </w:rPr>
              <w:t>公司确定了质量、环境、职业健康安全管理体系相关的内部和外部沟通，包括：沟通什么；何时沟通；与谁沟通；如何沟通；由谁负责，公司内部以口头、会议、电话、微信、QQ等形式沟通；会议有年度、季度和月度会议；沟通相关服务要求、环境和职业健康安全事项。对外沟通由</w:t>
            </w:r>
            <w:r>
              <w:rPr>
                <w:rFonts w:hint="eastAsia"/>
                <w:szCs w:val="21"/>
                <w:u w:val="none"/>
                <w:lang w:eastAsia="zh-CN"/>
              </w:rPr>
              <w:t>综合部</w:t>
            </w:r>
            <w:r>
              <w:rPr>
                <w:rFonts w:hint="eastAsia"/>
                <w:szCs w:val="21"/>
                <w:u w:val="none"/>
              </w:rPr>
              <w:t>统一负责。</w:t>
            </w:r>
          </w:p>
          <w:p>
            <w:pPr>
              <w:spacing w:line="360" w:lineRule="auto"/>
              <w:ind w:firstLine="420" w:firstLineChars="200"/>
              <w:rPr>
                <w:szCs w:val="21"/>
                <w:u w:val="none"/>
              </w:rPr>
            </w:pPr>
            <w:r>
              <w:rPr>
                <w:rFonts w:hint="eastAsia"/>
                <w:szCs w:val="21"/>
                <w:u w:val="none"/>
              </w:rPr>
              <w:t>现场查阅内部交流：方针、目标完成情况、内审和管理评审报告、不符合信息等。</w:t>
            </w:r>
          </w:p>
          <w:p>
            <w:pPr>
              <w:spacing w:line="360" w:lineRule="auto"/>
              <w:ind w:firstLine="420" w:firstLineChars="200"/>
              <w:rPr>
                <w:szCs w:val="21"/>
                <w:u w:val="none"/>
              </w:rPr>
            </w:pPr>
            <w:r>
              <w:rPr>
                <w:rFonts w:hint="eastAsia"/>
                <w:szCs w:val="21"/>
                <w:u w:val="none"/>
              </w:rPr>
              <w:t>外部交流：通过发放《相关方环境及职业健康安全告知书》与相关方就相关环境、职业健康安全信息进行相互沟通。</w:t>
            </w:r>
          </w:p>
          <w:p>
            <w:pPr>
              <w:spacing w:line="360" w:lineRule="auto"/>
              <w:ind w:firstLine="420" w:firstLineChars="200"/>
              <w:rPr>
                <w:szCs w:val="21"/>
                <w:u w:val="none"/>
              </w:rPr>
            </w:pPr>
            <w:r>
              <w:rPr>
                <w:rFonts w:hint="eastAsia"/>
                <w:szCs w:val="21"/>
                <w:u w:val="none"/>
              </w:rPr>
              <w:t>和员工米阳面谈，知道公司的管理者代表及职业健康安全事务代表。</w:t>
            </w:r>
          </w:p>
          <w:p>
            <w:pPr>
              <w:spacing w:line="360" w:lineRule="auto"/>
              <w:ind w:firstLine="420" w:firstLineChars="200"/>
              <w:rPr>
                <w:rFonts w:hint="eastAsia" w:ascii="Times New Roman" w:hAnsi="Times New Roman" w:eastAsia="宋体" w:cs="Times New Roman"/>
                <w:kern w:val="2"/>
                <w:sz w:val="21"/>
                <w:szCs w:val="21"/>
                <w:u w:val="none"/>
                <w:lang w:val="en-US" w:eastAsia="zh-CN" w:bidi="ar-SA"/>
              </w:rPr>
            </w:pPr>
            <w:r>
              <w:rPr>
                <w:rFonts w:hint="eastAsia"/>
                <w:szCs w:val="21"/>
                <w:u w:val="none"/>
              </w:rPr>
              <w:t>审核周期内未发生因沟通不善造成的的问题。</w:t>
            </w:r>
          </w:p>
        </w:tc>
        <w:tc>
          <w:tcPr>
            <w:tcW w:w="1585" w:type="dxa"/>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成文信息</w:t>
            </w:r>
          </w:p>
          <w:p>
            <w:pPr>
              <w:spacing w:line="360" w:lineRule="auto"/>
              <w:rPr>
                <w:rFonts w:ascii="宋体" w:hAnsi="宋体" w:cs="宋体"/>
                <w:szCs w:val="21"/>
              </w:rPr>
            </w:pPr>
          </w:p>
        </w:tc>
        <w:tc>
          <w:tcPr>
            <w:tcW w:w="998" w:type="dxa"/>
          </w:tcPr>
          <w:p>
            <w:pPr>
              <w:spacing w:line="360" w:lineRule="auto"/>
              <w:rPr>
                <w:rFonts w:hint="eastAsia" w:ascii="宋体" w:hAnsi="宋体" w:cs="宋体"/>
                <w:color w:val="000000"/>
                <w:kern w:val="0"/>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rPr>
              <w:t>7.5</w:t>
            </w:r>
          </w:p>
          <w:p>
            <w:pPr>
              <w:pStyle w:val="2"/>
              <w:rPr>
                <w:rFonts w:hint="default" w:eastAsia="宋体"/>
                <w:lang w:val="en-US" w:eastAsia="zh-CN"/>
              </w:rPr>
            </w:pPr>
            <w:r>
              <w:rPr>
                <w:rFonts w:hint="eastAsia" w:ascii="宋体" w:hAnsi="宋体" w:cs="宋体"/>
                <w:color w:val="000000"/>
                <w:kern w:val="0"/>
                <w:szCs w:val="21"/>
                <w:lang w:val="en-US" w:eastAsia="zh-CN"/>
              </w:rPr>
              <w:t>EO6.1.3</w:t>
            </w:r>
          </w:p>
          <w:p>
            <w:pPr>
              <w:spacing w:line="360" w:lineRule="auto"/>
              <w:rPr>
                <w:rFonts w:ascii="宋体" w:hAnsi="宋体" w:cs="宋体"/>
                <w:color w:val="000000"/>
                <w:kern w:val="0"/>
                <w:szCs w:val="21"/>
              </w:rPr>
            </w:pPr>
          </w:p>
        </w:tc>
        <w:tc>
          <w:tcPr>
            <w:tcW w:w="10004" w:type="dxa"/>
            <w:vAlign w:val="center"/>
          </w:tcPr>
          <w:p>
            <w:pPr>
              <w:spacing w:line="360" w:lineRule="auto"/>
              <w:ind w:firstLine="420" w:firstLineChars="200"/>
              <w:rPr>
                <w:szCs w:val="21"/>
              </w:rPr>
            </w:pPr>
            <w:r>
              <w:rPr>
                <w:rFonts w:hint="eastAsia"/>
                <w:szCs w:val="21"/>
              </w:rPr>
              <w:t>公司形成了文件化的管理手册、程序文件、管理制度以及所要求的记录。公司编制的程序文件基本符合标准要求的所有程序文件，对体系及其相互关系在手册中做了描述，记录表单满足公司目前的质量体系运行的需要。</w:t>
            </w:r>
          </w:p>
          <w:p>
            <w:pPr>
              <w:spacing w:line="360" w:lineRule="auto"/>
              <w:ind w:firstLine="420" w:firstLineChars="200"/>
              <w:rPr>
                <w:szCs w:val="21"/>
              </w:rPr>
            </w:pPr>
            <w:r>
              <w:rPr>
                <w:rFonts w:hint="eastAsia"/>
                <w:szCs w:val="21"/>
              </w:rPr>
              <w:t>公司文件分类：一级文件：管理手册。</w:t>
            </w:r>
          </w:p>
          <w:p>
            <w:pPr>
              <w:spacing w:line="360" w:lineRule="auto"/>
              <w:ind w:firstLine="420" w:firstLineChars="200"/>
              <w:rPr>
                <w:szCs w:val="21"/>
              </w:rPr>
            </w:pPr>
            <w:r>
              <w:rPr>
                <w:rFonts w:hint="eastAsia"/>
                <w:szCs w:val="21"/>
              </w:rPr>
              <w:t>二级文件：公司编制了程序文件，包括质量、环境、职业健康安全标准要求的所有程序。</w:t>
            </w:r>
          </w:p>
          <w:p>
            <w:pPr>
              <w:spacing w:line="360" w:lineRule="auto"/>
              <w:ind w:firstLine="420" w:firstLineChars="200"/>
              <w:rPr>
                <w:szCs w:val="21"/>
              </w:rPr>
            </w:pPr>
            <w:r>
              <w:rPr>
                <w:rFonts w:hint="eastAsia"/>
                <w:szCs w:val="21"/>
              </w:rPr>
              <w:t>三层次文件：管理制度，外来文件：包括</w:t>
            </w:r>
            <w:r>
              <w:rPr>
                <w:rFonts w:hint="eastAsia"/>
                <w:szCs w:val="21"/>
                <w:lang w:val="en-US" w:eastAsia="zh-CN"/>
              </w:rPr>
              <w:t>供水站运行管理规程、市政道路与基础设施养护管理实施细则等</w:t>
            </w:r>
            <w:r>
              <w:rPr>
                <w:rFonts w:hint="eastAsia"/>
                <w:szCs w:val="21"/>
              </w:rPr>
              <w:t>，环境、职业健康安全及运行记录，满足公司目前的管理体系运行的需要。体系文件基本能保证有效性和效率的要求。</w:t>
            </w:r>
          </w:p>
          <w:p>
            <w:pPr>
              <w:spacing w:line="360" w:lineRule="auto"/>
              <w:ind w:firstLine="420" w:firstLineChars="200"/>
              <w:rPr>
                <w:szCs w:val="21"/>
              </w:rPr>
            </w:pPr>
            <w:r>
              <w:rPr>
                <w:rFonts w:hint="eastAsia"/>
                <w:szCs w:val="21"/>
              </w:rPr>
              <w:t>查公司按照文审要求对管理手册进行了修改，符合要求。</w:t>
            </w:r>
          </w:p>
          <w:p>
            <w:pPr>
              <w:spacing w:line="360" w:lineRule="auto"/>
              <w:ind w:firstLine="420" w:firstLineChars="200"/>
              <w:rPr>
                <w:rFonts w:hint="eastAsia" w:ascii="Times New Roman" w:hAnsi="Times New Roman" w:eastAsia="宋体" w:cs="Times New Roman"/>
                <w:szCs w:val="21"/>
              </w:rPr>
            </w:pPr>
            <w:r>
              <w:rPr>
                <w:rFonts w:hint="eastAsia"/>
                <w:szCs w:val="21"/>
              </w:rPr>
              <w:t>公司编</w:t>
            </w:r>
            <w:r>
              <w:rPr>
                <w:rFonts w:hint="eastAsia" w:ascii="Times New Roman" w:hAnsi="Times New Roman" w:eastAsia="宋体" w:cs="Times New Roman"/>
                <w:szCs w:val="21"/>
              </w:rPr>
              <w:t>制并实施了《文件控制程序》，文件包括：管理手册、程序文件、各种管理制度等。</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无企业标准。</w:t>
            </w:r>
          </w:p>
          <w:p>
            <w:pPr>
              <w:spacing w:line="360" w:lineRule="auto"/>
              <w:ind w:firstLine="420" w:firstLineChars="200"/>
              <w:rPr>
                <w:szCs w:val="21"/>
              </w:rPr>
            </w:pPr>
            <w:r>
              <w:rPr>
                <w:rFonts w:hint="eastAsia"/>
                <w:szCs w:val="21"/>
              </w:rPr>
              <w:t>查管理手册、程序文件等文件，编制：薛宇航，审核：高翡，批准：严恪，20</w:t>
            </w:r>
            <w:r>
              <w:rPr>
                <w:rFonts w:hint="eastAsia"/>
                <w:szCs w:val="21"/>
                <w:lang w:val="en-US" w:eastAsia="zh-CN"/>
              </w:rPr>
              <w:t>19</w:t>
            </w:r>
            <w:r>
              <w:rPr>
                <w:rFonts w:hint="eastAsia"/>
                <w:szCs w:val="21"/>
              </w:rPr>
              <w:t>年</w:t>
            </w:r>
            <w:r>
              <w:rPr>
                <w:rFonts w:hint="eastAsia"/>
                <w:szCs w:val="21"/>
                <w:lang w:val="en-US" w:eastAsia="zh-CN"/>
              </w:rPr>
              <w:t>12</w:t>
            </w:r>
            <w:r>
              <w:rPr>
                <w:rFonts w:hint="eastAsia"/>
                <w:szCs w:val="21"/>
              </w:rPr>
              <w:t>月</w:t>
            </w:r>
            <w:r>
              <w:rPr>
                <w:rFonts w:hint="eastAsia"/>
                <w:szCs w:val="21"/>
                <w:lang w:val="en-US" w:eastAsia="zh-CN"/>
              </w:rPr>
              <w:t>1</w:t>
            </w:r>
            <w:r>
              <w:rPr>
                <w:rFonts w:hint="eastAsia"/>
                <w:szCs w:val="21"/>
              </w:rPr>
              <w:t>日，查文件编审批手续齐全、文件清晰、编号符合文件控制程序要求。查</w:t>
            </w:r>
            <w:r>
              <w:rPr>
                <w:rFonts w:hint="eastAsia"/>
                <w:szCs w:val="21"/>
                <w:lang w:eastAsia="zh-CN"/>
              </w:rPr>
              <w:t>综合部</w:t>
            </w:r>
            <w:r>
              <w:rPr>
                <w:rFonts w:hint="eastAsia"/>
                <w:szCs w:val="21"/>
              </w:rPr>
              <w:t>文件，都有受控标识，有效版本。</w:t>
            </w:r>
          </w:p>
          <w:p>
            <w:pPr>
              <w:spacing w:line="360" w:lineRule="auto"/>
              <w:ind w:firstLine="420" w:firstLineChars="200"/>
              <w:rPr>
                <w:b/>
                <w:bCs/>
                <w:color w:val="FF0000"/>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w:t>
            </w:r>
            <w:r>
              <w:rPr>
                <w:rFonts w:hint="eastAsia"/>
                <w:b/>
                <w:bCs/>
                <w:color w:val="FF0000"/>
                <w:szCs w:val="21"/>
              </w:rPr>
              <w:t>《适用的法律法规、标准及其他要求清单》未收集GBZ2.1-2019《工作场所有害因素职业接触限值 第1部分：化学有害因素》和GBZ2.2-2017《工作场所有害因素职业接触限值 第2部分：物理因素》。</w:t>
            </w:r>
          </w:p>
          <w:p>
            <w:pPr>
              <w:spacing w:line="360" w:lineRule="auto"/>
              <w:ind w:firstLine="420" w:firstLineChars="200"/>
              <w:rPr>
                <w:szCs w:val="21"/>
              </w:rPr>
            </w:pPr>
            <w:r>
              <w:rPr>
                <w:rFonts w:hint="eastAsia"/>
                <w:szCs w:val="21"/>
              </w:rPr>
              <w:t>查文件发放：</w:t>
            </w:r>
            <w:r>
              <w:rPr>
                <w:rFonts w:hint="eastAsia"/>
                <w:szCs w:val="21"/>
                <w:lang w:eastAsia="zh-CN"/>
              </w:rPr>
              <w:t>综合部</w:t>
            </w:r>
            <w:r>
              <w:rPr>
                <w:rFonts w:hint="eastAsia"/>
                <w:szCs w:val="21"/>
              </w:rPr>
              <w:t>20</w:t>
            </w:r>
            <w:r>
              <w:rPr>
                <w:rFonts w:hint="eastAsia"/>
                <w:szCs w:val="21"/>
                <w:lang w:val="en-US" w:eastAsia="zh-CN"/>
              </w:rPr>
              <w:t>19</w:t>
            </w:r>
            <w:r>
              <w:rPr>
                <w:rFonts w:hint="eastAsia"/>
                <w:szCs w:val="21"/>
              </w:rPr>
              <w:t>年</w:t>
            </w:r>
            <w:r>
              <w:rPr>
                <w:rFonts w:hint="eastAsia"/>
                <w:szCs w:val="21"/>
                <w:lang w:val="en-US" w:eastAsia="zh-CN"/>
              </w:rPr>
              <w:t>12</w:t>
            </w:r>
            <w:r>
              <w:rPr>
                <w:rFonts w:hint="eastAsia"/>
                <w:szCs w:val="21"/>
              </w:rPr>
              <w:t>月</w:t>
            </w:r>
            <w:r>
              <w:rPr>
                <w:rFonts w:hint="eastAsia"/>
                <w:szCs w:val="21"/>
                <w:lang w:val="en-US" w:eastAsia="zh-CN"/>
              </w:rPr>
              <w:t>1</w:t>
            </w:r>
            <w:r>
              <w:rPr>
                <w:rFonts w:hint="eastAsia"/>
                <w:szCs w:val="21"/>
              </w:rPr>
              <w:t>日下发了管理手册、程序文件、管理制度汇编等文件。</w:t>
            </w:r>
          </w:p>
          <w:p>
            <w:pPr>
              <w:spacing w:line="360" w:lineRule="auto"/>
              <w:ind w:firstLine="420" w:firstLineChars="200"/>
              <w:rPr>
                <w:szCs w:val="21"/>
              </w:rPr>
            </w:pPr>
            <w:r>
              <w:rPr>
                <w:rFonts w:hint="eastAsia"/>
                <w:szCs w:val="21"/>
              </w:rPr>
              <w:t>查</w:t>
            </w:r>
            <w:r>
              <w:rPr>
                <w:rFonts w:hint="eastAsia"/>
                <w:szCs w:val="21"/>
                <w:lang w:eastAsia="zh-CN"/>
              </w:rPr>
              <w:t>综合部</w:t>
            </w:r>
            <w:r>
              <w:rPr>
                <w:rFonts w:hint="eastAsia"/>
                <w:szCs w:val="21"/>
              </w:rPr>
              <w:t>文件有标识，检索方便，文件夹存放于文件柜内，防护符合要求。</w:t>
            </w:r>
          </w:p>
          <w:p>
            <w:pPr>
              <w:spacing w:line="360" w:lineRule="auto"/>
              <w:ind w:firstLine="420" w:firstLineChars="200"/>
              <w:rPr>
                <w:szCs w:val="21"/>
              </w:rPr>
            </w:pPr>
            <w:r>
              <w:rPr>
                <w:rFonts w:hint="eastAsia"/>
                <w:szCs w:val="21"/>
              </w:rPr>
              <w:t>公司编制并实施了《记录控制程序》对管理体系记录的标识、贮存、保护、检索、保存期限和处置等作了明确规定，符合要求。公司提供《记录一览表》—有内审报告、供方评价表、采购清单、管理评审报告等记录。明确了记录名称、编号、使用保存部门、保存期限等，并经审核后使用。公司各种记录由各使用部门保存，查阅</w:t>
            </w:r>
            <w:r>
              <w:rPr>
                <w:rFonts w:hint="eastAsia"/>
                <w:szCs w:val="21"/>
                <w:lang w:eastAsia="zh-CN"/>
              </w:rPr>
              <w:t>综合部</w:t>
            </w:r>
            <w:r>
              <w:rPr>
                <w:rFonts w:hint="eastAsia"/>
                <w:szCs w:val="21"/>
              </w:rPr>
              <w:t>保存的记录环境情况，归档文件、记录存放于通风、干燥、防蛀的文件柜内，环境干燥、通风，符合文件归档的要求。</w:t>
            </w:r>
          </w:p>
          <w:p>
            <w:pPr>
              <w:spacing w:line="360" w:lineRule="auto"/>
              <w:ind w:firstLine="420" w:firstLineChars="200"/>
              <w:rPr>
                <w:szCs w:val="21"/>
              </w:rPr>
            </w:pPr>
            <w:r>
              <w:rPr>
                <w:rFonts w:hint="eastAsia"/>
                <w:szCs w:val="21"/>
              </w:rPr>
              <w:t>抽查归档文件整理情况，</w:t>
            </w:r>
            <w:r>
              <w:rPr>
                <w:rFonts w:hint="eastAsia"/>
                <w:szCs w:val="21"/>
                <w:lang w:eastAsia="zh-CN"/>
              </w:rPr>
              <w:t>综合部</w:t>
            </w:r>
            <w:r>
              <w:rPr>
                <w:rFonts w:hint="eastAsia"/>
                <w:szCs w:val="21"/>
              </w:rPr>
              <w:t>已将文件进行了分类，按文件的名称、编号及时间装文件袋进行归档，文件较清洁，字迹清晰，检索方便，抽查有内部审核资料、管理评审资料等，均已装订成册。</w:t>
            </w:r>
          </w:p>
          <w:p>
            <w:pPr>
              <w:spacing w:line="360" w:lineRule="auto"/>
              <w:ind w:firstLine="420" w:firstLineChars="200"/>
              <w:rPr>
                <w:szCs w:val="21"/>
              </w:rPr>
            </w:pPr>
            <w:r>
              <w:rPr>
                <w:rFonts w:hint="eastAsia"/>
                <w:szCs w:val="21"/>
              </w:rPr>
              <w:t>外来记录（如顾客投诉记录等）由相关部门负责保管、归档。</w:t>
            </w:r>
          </w:p>
          <w:p>
            <w:pPr>
              <w:spacing w:line="360" w:lineRule="auto"/>
              <w:ind w:firstLine="420" w:firstLineChars="200"/>
              <w:rPr>
                <w:szCs w:val="21"/>
              </w:rPr>
            </w:pPr>
            <w:r>
              <w:rPr>
                <w:rFonts w:hint="eastAsia"/>
                <w:szCs w:val="21"/>
              </w:rPr>
              <w:t>原件记录原则上不外借，其它记录查阅时须有关部门同意后，方可查阅。</w:t>
            </w:r>
          </w:p>
          <w:p>
            <w:pPr>
              <w:spacing w:line="360" w:lineRule="auto"/>
              <w:ind w:firstLine="420" w:firstLineChars="200"/>
              <w:rPr>
                <w:szCs w:val="21"/>
              </w:rPr>
            </w:pPr>
            <w:r>
              <w:rPr>
                <w:rFonts w:hint="eastAsia"/>
                <w:szCs w:val="21"/>
              </w:rPr>
              <w:t>记录控制基本有效。</w:t>
            </w:r>
          </w:p>
        </w:tc>
        <w:tc>
          <w:tcPr>
            <w:tcW w:w="1585" w:type="dxa"/>
          </w:tcPr>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360" w:lineRule="auto"/>
              <w:rPr>
                <w:szCs w:val="21"/>
                <w:u w:val="single"/>
              </w:rPr>
            </w:pPr>
            <w:r>
              <w:rPr>
                <w:rFonts w:hint="eastAsia"/>
                <w:szCs w:val="21"/>
                <w:u w:val="single"/>
              </w:rPr>
              <w:t>运行策划和控制</w:t>
            </w:r>
          </w:p>
          <w:p>
            <w:pPr>
              <w:spacing w:line="360" w:lineRule="auto"/>
              <w:rPr>
                <w:b/>
                <w:szCs w:val="21"/>
                <w:u w:val="single"/>
              </w:rPr>
            </w:pPr>
          </w:p>
        </w:tc>
        <w:tc>
          <w:tcPr>
            <w:tcW w:w="998" w:type="dxa"/>
          </w:tcPr>
          <w:p>
            <w:pPr>
              <w:spacing w:line="360" w:lineRule="auto"/>
              <w:rPr>
                <w:b/>
                <w:szCs w:val="21"/>
                <w:u w:val="single"/>
              </w:rPr>
            </w:pPr>
            <w:r>
              <w:rPr>
                <w:rFonts w:hint="eastAsia"/>
                <w:szCs w:val="21"/>
                <w:u w:val="single"/>
              </w:rPr>
              <w:t>E</w:t>
            </w:r>
            <w:r>
              <w:rPr>
                <w:szCs w:val="21"/>
                <w:u w:val="single"/>
              </w:rPr>
              <w:t>O</w:t>
            </w:r>
            <w:r>
              <w:rPr>
                <w:rFonts w:hint="eastAsia"/>
                <w:szCs w:val="21"/>
                <w:u w:val="single"/>
              </w:rPr>
              <w:t>8.1</w:t>
            </w:r>
          </w:p>
        </w:tc>
        <w:tc>
          <w:tcPr>
            <w:tcW w:w="10004" w:type="dxa"/>
            <w:vAlign w:val="center"/>
          </w:tcPr>
          <w:p>
            <w:pPr>
              <w:spacing w:line="360" w:lineRule="auto"/>
              <w:ind w:firstLine="420" w:firstLineChars="200"/>
              <w:rPr>
                <w:rFonts w:hint="eastAsia"/>
                <w:szCs w:val="21"/>
                <w:u w:val="single"/>
              </w:rPr>
            </w:pPr>
            <w:r>
              <w:rPr>
                <w:rFonts w:hint="eastAsia"/>
                <w:szCs w:val="21"/>
                <w:u w:val="single"/>
              </w:rPr>
              <w:t>编制与环境、安全管理体系运行控制有关的文件有《环境因素识别与评价管理程序》、《危险源辨识与风险评价控制措施管理程序》、《对相关方施加影响管理程序》等。</w:t>
            </w:r>
          </w:p>
          <w:p>
            <w:pPr>
              <w:spacing w:line="360" w:lineRule="auto"/>
              <w:ind w:firstLine="420" w:firstLineChars="200"/>
              <w:rPr>
                <w:szCs w:val="21"/>
                <w:u w:val="single"/>
              </w:rPr>
            </w:pPr>
            <w:r>
              <w:rPr>
                <w:rFonts w:hint="eastAsia"/>
                <w:szCs w:val="21"/>
                <w:u w:val="single"/>
              </w:rPr>
              <w:t>1、废水管控</w:t>
            </w:r>
          </w:p>
          <w:p>
            <w:pPr>
              <w:spacing w:line="360" w:lineRule="auto"/>
              <w:ind w:firstLine="420" w:firstLineChars="200"/>
              <w:rPr>
                <w:rFonts w:hint="default" w:ascii="Times New Roman" w:hAnsi="Times New Roman" w:cs="Times New Roman"/>
                <w:szCs w:val="21"/>
                <w:u w:val="single"/>
                <w:lang w:val="en-US" w:eastAsia="zh-CN"/>
              </w:rPr>
            </w:pPr>
            <w:r>
              <w:rPr>
                <w:rFonts w:hint="eastAsia" w:ascii="Times New Roman" w:hAnsi="Times New Roman" w:cs="Times New Roman"/>
                <w:szCs w:val="21"/>
                <w:u w:val="single"/>
              </w:rPr>
              <w:t>主要生活废水排入政府污水管网统一处理</w:t>
            </w:r>
            <w:r>
              <w:rPr>
                <w:rFonts w:hint="eastAsia" w:ascii="Times New Roman" w:hAnsi="Times New Roman" w:cs="Times New Roman"/>
                <w:szCs w:val="21"/>
                <w:u w:val="single"/>
              </w:rPr>
              <w:t>。</w:t>
            </w:r>
            <w:r>
              <w:rPr>
                <w:rFonts w:hint="eastAsia" w:ascii="Times New Roman" w:hAnsi="Times New Roman" w:cs="Times New Roman"/>
                <w:szCs w:val="21"/>
                <w:u w:val="single"/>
                <w:lang w:val="en-US" w:eastAsia="zh-CN"/>
              </w:rPr>
              <w:t>供水站产生的回水经检测符合</w:t>
            </w:r>
            <w:r>
              <w:rPr>
                <w:rFonts w:hint="eastAsia" w:ascii="Times New Roman" w:hAnsi="Times New Roman" w:cs="Times New Roman"/>
                <w:szCs w:val="21"/>
                <w:u w:val="single"/>
                <w:lang w:val="zh-CN" w:eastAsia="zh-CN"/>
              </w:rPr>
              <w:t>GB</w:t>
            </w:r>
            <w:r>
              <w:rPr>
                <w:rFonts w:hint="eastAsia" w:ascii="Times New Roman" w:hAnsi="Times New Roman" w:cs="Times New Roman"/>
                <w:szCs w:val="21"/>
                <w:u w:val="single"/>
                <w:lang w:val="en-US" w:eastAsia="zh-CN"/>
              </w:rPr>
              <w:t>18920-2002《城市污水再生利用 城市杂用水水质》标准要求，按园区规划要求回水排放河道，用于园区景观和植物灌溉，污水再生利用。道路保养过程基本不产生废水。</w:t>
            </w:r>
          </w:p>
          <w:p>
            <w:pPr>
              <w:spacing w:line="360" w:lineRule="auto"/>
              <w:ind w:firstLine="420" w:firstLineChars="200"/>
              <w:rPr>
                <w:szCs w:val="21"/>
                <w:u w:val="single"/>
              </w:rPr>
            </w:pPr>
            <w:r>
              <w:rPr>
                <w:rFonts w:hint="eastAsia"/>
                <w:szCs w:val="21"/>
                <w:u w:val="single"/>
              </w:rPr>
              <w:t>2、固废管控</w:t>
            </w:r>
          </w:p>
          <w:p>
            <w:pPr>
              <w:spacing w:line="360" w:lineRule="auto"/>
              <w:ind w:firstLine="420" w:firstLineChars="200"/>
              <w:rPr>
                <w:rFonts w:hint="default" w:ascii="Times New Roman" w:hAnsi="Times New Roman" w:cs="Times New Roman"/>
                <w:szCs w:val="21"/>
                <w:u w:val="single"/>
                <w:lang w:val="en-US" w:eastAsia="zh-CN"/>
              </w:rPr>
            </w:pPr>
            <w:r>
              <w:rPr>
                <w:rFonts w:hint="eastAsia" w:ascii="Times New Roman" w:hAnsi="Times New Roman" w:cs="Times New Roman"/>
                <w:szCs w:val="21"/>
                <w:u w:val="single"/>
                <w:lang w:val="en-US" w:eastAsia="zh-CN"/>
              </w:rPr>
              <w:t>生活垃圾，办公室有垃圾篓集中倒入垃圾站，负责维护保养的道路设有垃圾分类箱， 由市政环卫运送至统一地点集中处理。危废（墨盒、硒鼓、灯管）排放由供应商回收处置；二氧化氯等化学品的包装物由供货方负责回收，但合同协议缺少明示处置信息； 现场查看化学品的使用登记和包装物回收登记。</w:t>
            </w:r>
          </w:p>
          <w:p>
            <w:pPr>
              <w:pStyle w:val="14"/>
              <w:numPr>
                <w:ilvl w:val="0"/>
                <w:numId w:val="1"/>
              </w:numPr>
              <w:spacing w:line="360" w:lineRule="auto"/>
              <w:ind w:firstLineChars="0"/>
              <w:rPr>
                <w:szCs w:val="21"/>
                <w:u w:val="single"/>
              </w:rPr>
            </w:pPr>
            <w:r>
              <w:rPr>
                <w:rFonts w:hint="eastAsia"/>
                <w:szCs w:val="21"/>
                <w:u w:val="single"/>
              </w:rPr>
              <w:t>能源资源管控</w:t>
            </w:r>
          </w:p>
          <w:p>
            <w:pPr>
              <w:spacing w:line="360" w:lineRule="auto"/>
              <w:ind w:firstLine="420" w:firstLineChars="200"/>
              <w:rPr>
                <w:szCs w:val="21"/>
                <w:u w:val="single"/>
              </w:rPr>
            </w:pPr>
            <w:r>
              <w:rPr>
                <w:rFonts w:hint="eastAsia"/>
                <w:szCs w:val="21"/>
                <w:u w:val="single"/>
              </w:rPr>
              <w:t>销售过程注意节水、节电、节油，人走关闭开关，未发现有漏水和浪费电能的现象。</w:t>
            </w:r>
          </w:p>
          <w:p>
            <w:pPr>
              <w:spacing w:line="240" w:lineRule="exact"/>
              <w:ind w:leftChars="200"/>
              <w:jc w:val="left"/>
              <w:rPr>
                <w:rFonts w:hint="eastAsia" w:ascii="Times New Roman" w:hAnsi="Times New Roman" w:cs="Times New Roman"/>
                <w:szCs w:val="21"/>
                <w:u w:val="single"/>
                <w:lang w:eastAsia="zh-CN"/>
              </w:rPr>
            </w:pPr>
            <w:r>
              <w:rPr>
                <w:szCs w:val="21"/>
                <w:u w:val="single"/>
              </w:rPr>
              <w:t>4</w:t>
            </w:r>
            <w:r>
              <w:rPr>
                <w:rFonts w:hint="eastAsia"/>
                <w:szCs w:val="21"/>
                <w:u w:val="single"/>
              </w:rPr>
              <w:t>、潜在火灾管控</w:t>
            </w:r>
          </w:p>
          <w:p>
            <w:pPr>
              <w:spacing w:line="360" w:lineRule="auto"/>
              <w:ind w:firstLine="420" w:firstLineChars="200"/>
              <w:rPr>
                <w:rFonts w:hint="eastAsia" w:ascii="Times New Roman" w:hAnsi="Times New Roman" w:cs="Times New Roman"/>
                <w:szCs w:val="21"/>
                <w:u w:val="single"/>
                <w:lang w:val="en-US" w:eastAsia="zh-CN"/>
              </w:rPr>
            </w:pPr>
            <w:r>
              <w:rPr>
                <w:rFonts w:hint="eastAsia" w:ascii="Times New Roman" w:hAnsi="Times New Roman" w:cs="Times New Roman"/>
                <w:szCs w:val="21"/>
                <w:u w:val="single"/>
                <w:lang w:val="en-US" w:eastAsia="zh-CN"/>
              </w:rPr>
              <w:t>公司综合部现场配有灭火器和应急预案。</w:t>
            </w:r>
            <w:r>
              <w:rPr>
                <w:rFonts w:hint="eastAsia" w:ascii="Times New Roman" w:hAnsi="Times New Roman" w:cs="Times New Roman"/>
                <w:szCs w:val="21"/>
                <w:u w:val="single"/>
                <w:lang w:val="en-US" w:eastAsia="zh-CN"/>
              </w:rPr>
              <w:t>办公楼配备了消防栓和灭火器，状态有效，公司办公室办公区域和供水站内配置灭火器，维护保养的道路设有消防栓。</w:t>
            </w:r>
          </w:p>
          <w:p>
            <w:pPr>
              <w:spacing w:line="360" w:lineRule="auto"/>
              <w:ind w:firstLine="420" w:firstLineChars="200"/>
              <w:rPr>
                <w:rFonts w:hint="eastAsia" w:ascii="Times New Roman" w:hAnsi="Times New Roman" w:cs="Times New Roman"/>
                <w:szCs w:val="21"/>
                <w:u w:val="single"/>
                <w:lang w:val="en-US" w:eastAsia="zh-CN"/>
              </w:rPr>
            </w:pPr>
            <w:r>
              <w:rPr>
                <w:rFonts w:hint="eastAsia" w:ascii="Times New Roman" w:hAnsi="Times New Roman" w:cs="Times New Roman"/>
                <w:szCs w:val="21"/>
                <w:u w:val="single"/>
                <w:lang w:val="en-US" w:eastAsia="zh-CN"/>
              </w:rPr>
              <w:t>5、触电安全防护：</w:t>
            </w:r>
          </w:p>
          <w:p>
            <w:pPr>
              <w:spacing w:line="360" w:lineRule="auto"/>
              <w:ind w:firstLine="420" w:firstLineChars="200"/>
              <w:rPr>
                <w:rFonts w:hint="eastAsia" w:ascii="Times New Roman" w:hAnsi="Times New Roman" w:cs="Times New Roman"/>
                <w:szCs w:val="21"/>
                <w:u w:val="single"/>
                <w:lang w:val="en-US" w:eastAsia="zh-CN"/>
              </w:rPr>
            </w:pPr>
            <w:r>
              <w:rPr>
                <w:rFonts w:hint="eastAsia" w:ascii="Times New Roman" w:hAnsi="Times New Roman" w:cs="Times New Roman"/>
                <w:szCs w:val="21"/>
                <w:u w:val="single"/>
                <w:lang w:val="en-US" w:eastAsia="zh-CN"/>
              </w:rPr>
              <w:t>现场电线布线合理，漏电保护器状态良好。</w:t>
            </w:r>
          </w:p>
          <w:p>
            <w:pPr>
              <w:spacing w:line="360" w:lineRule="auto"/>
              <w:ind w:firstLine="420" w:firstLineChars="200"/>
              <w:rPr>
                <w:rFonts w:hint="eastAsia" w:ascii="Times New Roman" w:hAnsi="Times New Roman" w:cs="Times New Roman"/>
                <w:szCs w:val="21"/>
                <w:u w:val="single"/>
                <w:lang w:val="en-US" w:eastAsia="zh-CN"/>
              </w:rPr>
            </w:pPr>
            <w:r>
              <w:rPr>
                <w:rFonts w:hint="eastAsia" w:ascii="Times New Roman" w:hAnsi="Times New Roman" w:cs="Times New Roman"/>
                <w:szCs w:val="21"/>
                <w:u w:val="single"/>
                <w:lang w:val="en-US" w:eastAsia="zh-CN"/>
              </w:rPr>
              <w:t>6、供水车间的噪声主要来自供水增压泵和消防计量泵，主要人员的日常操控在办公室通过中控远程操控完成，仅消毒配液过程人员在车间现场完成；消毒剂使用化学品为固体二氧化氯（有效含量10%），按消毒作业配制操作规程执行。</w:t>
            </w:r>
          </w:p>
          <w:p>
            <w:pPr>
              <w:spacing w:line="360" w:lineRule="auto"/>
              <w:ind w:firstLine="420" w:firstLineChars="200"/>
              <w:rPr>
                <w:szCs w:val="21"/>
                <w:u w:val="single"/>
              </w:rPr>
            </w:pPr>
            <w:r>
              <w:rPr>
                <w:rFonts w:hint="eastAsia"/>
                <w:szCs w:val="21"/>
                <w:u w:val="single"/>
                <w:lang w:val="en-US" w:eastAsia="zh-CN"/>
              </w:rPr>
              <w:t>7</w:t>
            </w:r>
            <w:r>
              <w:rPr>
                <w:rFonts w:hint="eastAsia"/>
                <w:szCs w:val="21"/>
                <w:u w:val="single"/>
              </w:rPr>
              <w:t>、安全防护</w:t>
            </w:r>
          </w:p>
          <w:p>
            <w:pPr>
              <w:spacing w:line="360" w:lineRule="auto"/>
              <w:ind w:firstLine="420" w:firstLineChars="200"/>
              <w:rPr>
                <w:szCs w:val="21"/>
                <w:u w:val="single"/>
              </w:rPr>
            </w:pPr>
            <w:r>
              <w:rPr>
                <w:rFonts w:hint="eastAsia"/>
                <w:szCs w:val="21"/>
                <w:u w:val="single"/>
              </w:rPr>
              <w:t>疫情期间进出公司人员进行温度登记，查看健康码，公司给员工发放口罩等劳保用品，不允许私拉乱扔。</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360" w:lineRule="auto"/>
              <w:rPr>
                <w:b/>
                <w:szCs w:val="21"/>
                <w:u w:val="single"/>
              </w:rPr>
            </w:pPr>
            <w:r>
              <w:rPr>
                <w:rFonts w:hint="eastAsia" w:ascii="宋体" w:hAnsi="宋体" w:cs="宋体"/>
                <w:szCs w:val="21"/>
                <w:u w:val="single"/>
              </w:rPr>
              <w:t>应急响应和准备</w:t>
            </w:r>
          </w:p>
        </w:tc>
        <w:tc>
          <w:tcPr>
            <w:tcW w:w="998" w:type="dxa"/>
          </w:tcPr>
          <w:p>
            <w:pPr>
              <w:spacing w:line="360" w:lineRule="auto"/>
              <w:rPr>
                <w:szCs w:val="21"/>
                <w:u w:val="single"/>
              </w:rPr>
            </w:pPr>
            <w:r>
              <w:rPr>
                <w:rFonts w:hint="eastAsia"/>
                <w:szCs w:val="21"/>
                <w:u w:val="single"/>
              </w:rPr>
              <w:t>E</w:t>
            </w:r>
            <w:r>
              <w:rPr>
                <w:szCs w:val="21"/>
                <w:u w:val="single"/>
              </w:rPr>
              <w:t>O</w:t>
            </w:r>
            <w:r>
              <w:rPr>
                <w:rFonts w:hint="eastAsia"/>
                <w:szCs w:val="21"/>
                <w:u w:val="single"/>
              </w:rPr>
              <w:t>8.2</w:t>
            </w:r>
          </w:p>
        </w:tc>
        <w:tc>
          <w:tcPr>
            <w:tcW w:w="10004" w:type="dxa"/>
            <w:vAlign w:val="center"/>
          </w:tcPr>
          <w:p>
            <w:pPr>
              <w:pStyle w:val="13"/>
              <w:spacing w:line="360" w:lineRule="auto"/>
              <w:rPr>
                <w:sz w:val="21"/>
                <w:szCs w:val="21"/>
                <w:u w:val="single"/>
              </w:rPr>
            </w:pPr>
            <w:r>
              <w:rPr>
                <w:rFonts w:hint="eastAsia"/>
                <w:sz w:val="21"/>
                <w:szCs w:val="21"/>
                <w:u w:val="single"/>
              </w:rPr>
              <w:t>编制了《应急准备和响应管理程序》，查看内容基本符合要求。</w:t>
            </w:r>
          </w:p>
          <w:p>
            <w:pPr>
              <w:pStyle w:val="13"/>
              <w:spacing w:line="360" w:lineRule="auto"/>
              <w:ind w:firstLineChars="0"/>
              <w:rPr>
                <w:sz w:val="21"/>
                <w:szCs w:val="21"/>
                <w:u w:val="single"/>
              </w:rPr>
            </w:pPr>
            <w:r>
              <w:rPr>
                <w:rFonts w:hint="eastAsia"/>
                <w:sz w:val="21"/>
                <w:szCs w:val="21"/>
                <w:u w:val="single"/>
              </w:rPr>
              <w:t>策划了应急预案包括触电、火灾、中暑等应急预案。</w:t>
            </w:r>
          </w:p>
          <w:p>
            <w:pPr>
              <w:pStyle w:val="13"/>
              <w:spacing w:line="360" w:lineRule="auto"/>
              <w:ind w:firstLineChars="0"/>
              <w:rPr>
                <w:sz w:val="21"/>
                <w:szCs w:val="21"/>
                <w:u w:val="single"/>
              </w:rPr>
            </w:pPr>
            <w:r>
              <w:rPr>
                <w:rFonts w:hint="eastAsia"/>
                <w:sz w:val="21"/>
                <w:szCs w:val="21"/>
                <w:u w:val="single"/>
              </w:rPr>
              <w:t>查应急预案评估报告，通过以上评估，公司应急预案的制定基本合理。</w:t>
            </w:r>
          </w:p>
          <w:p>
            <w:pPr>
              <w:pStyle w:val="13"/>
              <w:spacing w:line="360" w:lineRule="auto"/>
              <w:ind w:firstLineChars="0"/>
              <w:rPr>
                <w:rFonts w:hint="eastAsia" w:cs="Times New Roman"/>
                <w:sz w:val="21"/>
                <w:szCs w:val="21"/>
                <w:u w:val="single"/>
                <w:lang w:val="en-US" w:eastAsia="zh-CN"/>
              </w:rPr>
            </w:pPr>
            <w:r>
              <w:rPr>
                <w:rFonts w:hint="eastAsia" w:cs="Times New Roman"/>
                <w:sz w:val="21"/>
                <w:szCs w:val="21"/>
                <w:u w:val="single"/>
                <w:lang w:val="en-US" w:eastAsia="zh-CN"/>
              </w:rPr>
              <w:t>公司进行了消防灭火和触电演练，查应急演练记录。</w:t>
            </w:r>
          </w:p>
          <w:p>
            <w:pPr>
              <w:pStyle w:val="13"/>
              <w:spacing w:line="360" w:lineRule="auto"/>
              <w:ind w:firstLineChars="0"/>
              <w:rPr>
                <w:rFonts w:hint="eastAsia" w:cs="Times New Roman"/>
                <w:sz w:val="21"/>
                <w:szCs w:val="21"/>
                <w:u w:val="single"/>
                <w:lang w:val="en-US" w:eastAsia="zh-CN"/>
              </w:rPr>
            </w:pPr>
            <w:r>
              <w:rPr>
                <w:rFonts w:hint="eastAsia" w:cs="Times New Roman"/>
                <w:sz w:val="21"/>
                <w:szCs w:val="21"/>
                <w:u w:val="single"/>
                <w:lang w:val="en-US" w:eastAsia="zh-CN"/>
              </w:rPr>
              <w:t>查消防灭火演练，演练时间2019年12月19，地点：锐安工地，对演练过程进行了描述，并对预案的有效性进行了评价。</w:t>
            </w:r>
          </w:p>
          <w:p>
            <w:pPr>
              <w:pStyle w:val="13"/>
              <w:spacing w:line="360" w:lineRule="auto"/>
              <w:ind w:firstLineChars="0"/>
              <w:rPr>
                <w:rFonts w:hint="eastAsia" w:cs="Times New Roman"/>
                <w:sz w:val="21"/>
                <w:szCs w:val="21"/>
                <w:u w:val="single"/>
                <w:lang w:val="en-US" w:eastAsia="zh-CN"/>
              </w:rPr>
            </w:pPr>
            <w:r>
              <w:rPr>
                <w:rFonts w:hint="eastAsia" w:cs="Times New Roman"/>
                <w:sz w:val="21"/>
                <w:szCs w:val="21"/>
                <w:u w:val="single"/>
                <w:lang w:val="en-US" w:eastAsia="zh-CN"/>
              </w:rPr>
              <w:t>查到触电应急演练，演练时间：2020年5月18日，地点：施工现场； 对演练过程进行了描述，并对预案的有效性进行了评价。</w:t>
            </w:r>
          </w:p>
          <w:p>
            <w:pPr>
              <w:pStyle w:val="13"/>
              <w:spacing w:line="360" w:lineRule="auto"/>
              <w:ind w:firstLineChars="0"/>
              <w:rPr>
                <w:rFonts w:ascii="Calibri" w:hAnsi="Calibri"/>
                <w:szCs w:val="21"/>
                <w:u w:val="single"/>
              </w:rPr>
            </w:pPr>
            <w:r>
              <w:rPr>
                <w:rFonts w:hint="eastAsia" w:cs="Times New Roman"/>
                <w:sz w:val="21"/>
                <w:szCs w:val="21"/>
                <w:u w:val="single"/>
                <w:lang w:val="en-US" w:eastAsia="zh-CN"/>
              </w:rPr>
              <w:t>目前未发生火灾、触电人身伤害等事故。</w:t>
            </w:r>
            <w:bookmarkStart w:id="0" w:name="_GoBack"/>
            <w:bookmarkEnd w:id="0"/>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22" w:type="dxa"/>
          </w:tcPr>
          <w:p>
            <w:pPr>
              <w:spacing w:line="360" w:lineRule="auto"/>
              <w:rPr>
                <w:rFonts w:hint="eastAsia" w:ascii="宋体" w:hAnsi="宋体" w:cs="宋体"/>
                <w:szCs w:val="21"/>
                <w:u w:val="single"/>
              </w:rPr>
            </w:pPr>
            <w:r>
              <w:rPr>
                <w:rFonts w:hint="eastAsia" w:ascii="宋体" w:hAnsi="宋体" w:cs="Arial"/>
                <w:sz w:val="21"/>
                <w:szCs w:val="21"/>
              </w:rPr>
              <w:t>生产和服务提供的更改控制</w:t>
            </w:r>
          </w:p>
        </w:tc>
        <w:tc>
          <w:tcPr>
            <w:tcW w:w="998" w:type="dxa"/>
          </w:tcPr>
          <w:p>
            <w:pPr>
              <w:spacing w:line="360" w:lineRule="auto"/>
              <w:rPr>
                <w:rFonts w:hint="eastAsia"/>
                <w:szCs w:val="21"/>
                <w:u w:val="single"/>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lang w:val="en-US" w:eastAsia="zh-CN"/>
              </w:rPr>
              <w:t>8.5.6</w:t>
            </w:r>
          </w:p>
        </w:tc>
        <w:tc>
          <w:tcPr>
            <w:tcW w:w="10004" w:type="dxa"/>
            <w:vAlign w:val="top"/>
          </w:tcPr>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eastAsia="zh-CN"/>
              </w:rPr>
              <w:t>经查：自体系运行以来，公司供水厂运营，市政道路及基础设施的维护保养过程无更改，也未发生产品更改例。</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绩效 总则</w:t>
            </w:r>
          </w:p>
          <w:p>
            <w:pPr>
              <w:spacing w:line="360" w:lineRule="auto"/>
              <w:ind w:firstLine="420" w:firstLineChars="200"/>
              <w:rPr>
                <w:rFonts w:hint="eastAsia" w:ascii="宋体" w:hAnsi="宋体" w:eastAsia="宋体" w:cs="宋体"/>
                <w:szCs w:val="21"/>
                <w:lang w:eastAsia="zh-CN"/>
              </w:rPr>
            </w:pPr>
          </w:p>
        </w:tc>
        <w:tc>
          <w:tcPr>
            <w:tcW w:w="998" w:type="dxa"/>
          </w:tcPr>
          <w:p>
            <w:pPr>
              <w:spacing w:line="360" w:lineRule="auto"/>
              <w:rPr>
                <w:rFonts w:hint="eastAsia" w:ascii="宋体" w:hAnsi="宋体" w:eastAsia="宋体" w:cs="宋体"/>
                <w:szCs w:val="21"/>
                <w:lang w:eastAsia="zh-CN"/>
              </w:rPr>
            </w:pPr>
            <w:r>
              <w:rPr>
                <w:rFonts w:hint="eastAsia" w:ascii="宋体" w:hAnsi="宋体" w:eastAsia="宋体" w:cs="宋体"/>
                <w:szCs w:val="21"/>
                <w:lang w:eastAsia="zh-CN"/>
              </w:rPr>
              <w:t>Q9.1.1</w:t>
            </w:r>
          </w:p>
          <w:p>
            <w:pPr>
              <w:spacing w:line="360" w:lineRule="auto"/>
              <w:ind w:firstLine="420" w:firstLineChars="200"/>
              <w:rPr>
                <w:rFonts w:hint="eastAsia" w:ascii="宋体" w:hAnsi="宋体" w:eastAsia="宋体" w:cs="宋体"/>
                <w:szCs w:val="21"/>
                <w:lang w:eastAsia="zh-CN"/>
              </w:rPr>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lang w:eastAsia="zh-CN"/>
              </w:rPr>
              <w:t>综合部</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w:t>
            </w:r>
            <w:r>
              <w:rPr>
                <w:rFonts w:hint="eastAsia" w:ascii="宋体" w:hAnsi="宋体" w:cs="宋体"/>
                <w:szCs w:val="21"/>
                <w:lang w:val="en-US" w:eastAsia="zh-CN"/>
              </w:rPr>
              <w:t>3</w:t>
            </w:r>
            <w:r>
              <w:rPr>
                <w:rFonts w:hint="eastAsia" w:ascii="宋体" w:hAnsi="宋体" w:cs="宋体"/>
                <w:szCs w:val="21"/>
              </w:rPr>
              <w:t>条款记录；通过目标考评，监测管理体系运行的有效性，提供了20</w:t>
            </w:r>
            <w:r>
              <w:rPr>
                <w:rFonts w:ascii="宋体" w:hAnsi="宋体" w:cs="宋体"/>
                <w:szCs w:val="21"/>
              </w:rPr>
              <w:t>20</w:t>
            </w:r>
            <w:r>
              <w:rPr>
                <w:rFonts w:hint="eastAsia" w:ascii="宋体" w:hAnsi="宋体" w:cs="宋体"/>
                <w:szCs w:val="21"/>
              </w:rPr>
              <w:t>年度的目标完成情况，公司及各部门的管理目标均能完成。</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360" w:lineRule="auto"/>
              <w:rPr>
                <w:rFonts w:hint="eastAsia" w:ascii="宋体" w:hAnsi="宋体" w:eastAsia="宋体" w:cs="宋体"/>
                <w:szCs w:val="21"/>
                <w:lang w:eastAsia="zh-CN"/>
              </w:rPr>
            </w:pPr>
            <w:r>
              <w:rPr>
                <w:rFonts w:hint="eastAsia" w:ascii="宋体" w:hAnsi="宋体" w:cs="Arial"/>
                <w:sz w:val="21"/>
                <w:szCs w:val="21"/>
              </w:rPr>
              <w:t>分析与评价</w:t>
            </w:r>
          </w:p>
        </w:tc>
        <w:tc>
          <w:tcPr>
            <w:tcW w:w="998" w:type="dxa"/>
          </w:tcPr>
          <w:p>
            <w:pPr>
              <w:spacing w:line="360" w:lineRule="auto"/>
              <w:rPr>
                <w:rFonts w:hint="default" w:ascii="宋体" w:hAnsi="宋体" w:eastAsia="宋体" w:cs="宋体"/>
                <w:szCs w:val="21"/>
                <w:lang w:val="en-US" w:eastAsia="zh-CN"/>
              </w:rPr>
            </w:pPr>
            <w:r>
              <w:rPr>
                <w:rFonts w:hint="eastAsia" w:ascii="宋体" w:hAnsi="宋体" w:eastAsia="宋体" w:cs="宋体"/>
                <w:szCs w:val="21"/>
                <w:lang w:eastAsia="zh-CN"/>
              </w:rPr>
              <w:t>Q9.1.</w:t>
            </w:r>
            <w:r>
              <w:rPr>
                <w:rFonts w:hint="eastAsia" w:ascii="宋体" w:hAnsi="宋体" w:eastAsia="宋体" w:cs="宋体"/>
                <w:szCs w:val="21"/>
                <w:lang w:val="en-US" w:eastAsia="zh-CN"/>
              </w:rPr>
              <w:t>3</w:t>
            </w:r>
          </w:p>
        </w:tc>
        <w:tc>
          <w:tcPr>
            <w:tcW w:w="10004" w:type="dxa"/>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sz w:val="21"/>
                <w:szCs w:val="21"/>
              </w:rPr>
            </w:pPr>
            <w:r>
              <w:rPr>
                <w:rFonts w:hint="eastAsia" w:ascii="宋体" w:hAnsi="宋体"/>
                <w:sz w:val="21"/>
                <w:szCs w:val="21"/>
              </w:rPr>
              <w:t>经查：部门根据监视和测量获得的数据和信息，组织相关部门进行了分析评价。包括：对公司及各部门质量目标完成情见进行分析，确定</w:t>
            </w:r>
            <w:r>
              <w:rPr>
                <w:rFonts w:hint="eastAsia" w:ascii="宋体" w:hAnsi="宋体"/>
                <w:sz w:val="21"/>
                <w:szCs w:val="21"/>
                <w:lang w:val="en-US" w:eastAsia="zh-CN"/>
              </w:rPr>
              <w:t>管理</w:t>
            </w:r>
            <w:r>
              <w:rPr>
                <w:rFonts w:hint="eastAsia" w:ascii="宋体" w:hAnsi="宋体"/>
                <w:sz w:val="21"/>
                <w:szCs w:val="21"/>
              </w:rPr>
              <w:t>体系运行状况（见管理评审输入）；对顾客满意有关的信息进行了分析，以确定顾客满意程度（见</w:t>
            </w:r>
            <w:r>
              <w:rPr>
                <w:rFonts w:hint="eastAsia" w:ascii="宋体" w:hAnsi="宋体"/>
                <w:sz w:val="21"/>
                <w:szCs w:val="21"/>
                <w:lang w:val="en-US" w:eastAsia="zh-CN"/>
              </w:rPr>
              <w:t>运营管理</w:t>
            </w:r>
            <w:r>
              <w:rPr>
                <w:rFonts w:hint="eastAsia" w:ascii="宋体" w:hAnsi="宋体"/>
                <w:sz w:val="21"/>
                <w:szCs w:val="21"/>
                <w:lang w:eastAsia="zh-CN"/>
              </w:rPr>
              <w:t>部</w:t>
            </w:r>
            <w:r>
              <w:rPr>
                <w:rFonts w:hint="eastAsia" w:ascii="宋体" w:hAnsi="宋体"/>
                <w:sz w:val="21"/>
                <w:szCs w:val="21"/>
              </w:rPr>
              <w:t>9.1.2）；</w:t>
            </w:r>
          </w:p>
          <w:p>
            <w:pPr>
              <w:keepNext w:val="0"/>
              <w:keepLines w:val="0"/>
              <w:suppressLineNumbers w:val="0"/>
              <w:spacing w:before="0" w:beforeAutospacing="0" w:after="0" w:afterAutospacing="0" w:line="360" w:lineRule="auto"/>
              <w:ind w:left="0" w:right="0" w:firstLine="420" w:firstLineChars="200"/>
              <w:rPr>
                <w:rFonts w:hint="eastAsia" w:ascii="宋体" w:hAnsi="宋体"/>
                <w:sz w:val="21"/>
                <w:szCs w:val="21"/>
              </w:rPr>
            </w:pPr>
            <w:r>
              <w:rPr>
                <w:rFonts w:hint="eastAsia" w:ascii="宋体" w:hAnsi="宋体"/>
                <w:sz w:val="21"/>
                <w:szCs w:val="21"/>
              </w:rPr>
              <w:t>对内部审核的有关信息和应对风险措施的有效性进行分析，以确定</w:t>
            </w:r>
            <w:r>
              <w:rPr>
                <w:rFonts w:hint="eastAsia" w:ascii="宋体" w:hAnsi="宋体"/>
                <w:sz w:val="21"/>
                <w:szCs w:val="21"/>
                <w:lang w:val="en-US" w:eastAsia="zh-CN"/>
              </w:rPr>
              <w:t>管理</w:t>
            </w:r>
            <w:r>
              <w:rPr>
                <w:rFonts w:hint="eastAsia" w:ascii="宋体" w:hAnsi="宋体"/>
                <w:sz w:val="21"/>
                <w:szCs w:val="21"/>
              </w:rPr>
              <w:t>管理体系的有效性（见</w:t>
            </w:r>
            <w:r>
              <w:rPr>
                <w:rFonts w:hint="eastAsia" w:ascii="宋体" w:hAnsi="宋体"/>
                <w:sz w:val="21"/>
                <w:szCs w:val="21"/>
                <w:lang w:val="en-US" w:eastAsia="zh-CN"/>
              </w:rPr>
              <w:t>综合部</w:t>
            </w:r>
            <w:r>
              <w:rPr>
                <w:rFonts w:hint="eastAsia" w:ascii="宋体" w:hAnsi="宋体"/>
                <w:sz w:val="21"/>
                <w:szCs w:val="21"/>
              </w:rPr>
              <w:t>9.2）。</w:t>
            </w:r>
          </w:p>
          <w:p>
            <w:pPr>
              <w:spacing w:line="360" w:lineRule="auto"/>
              <w:ind w:firstLine="420" w:firstLineChars="200"/>
              <w:rPr>
                <w:rFonts w:hint="eastAsia" w:ascii="宋体" w:hAnsi="宋体" w:cs="宋体"/>
                <w:sz w:val="21"/>
                <w:szCs w:val="21"/>
                <w:lang w:eastAsia="zh-CN"/>
              </w:rPr>
            </w:pPr>
            <w:r>
              <w:rPr>
                <w:rFonts w:hint="eastAsia" w:ascii="宋体" w:hAnsi="宋体"/>
                <w:sz w:val="21"/>
                <w:szCs w:val="21"/>
              </w:rPr>
              <w:t>部门在汇总以上分析结果的基础上，分析针对风险和机遇所采取措施的有效性，积极寻找</w:t>
            </w:r>
            <w:r>
              <w:rPr>
                <w:rFonts w:hint="eastAsia" w:ascii="宋体" w:hAnsi="宋体"/>
                <w:sz w:val="21"/>
                <w:szCs w:val="21"/>
                <w:lang w:val="en-US" w:eastAsia="zh-CN"/>
              </w:rPr>
              <w:t>管理</w:t>
            </w:r>
            <w:r>
              <w:rPr>
                <w:rFonts w:hint="eastAsia" w:ascii="宋体" w:hAnsi="宋体"/>
                <w:sz w:val="21"/>
                <w:szCs w:val="21"/>
              </w:rPr>
              <w:t>管理体系持续改进的机会，通过管理评审会议的改进决策进行</w:t>
            </w:r>
            <w:r>
              <w:rPr>
                <w:rFonts w:hint="eastAsia" w:ascii="宋体" w:hAnsi="宋体"/>
                <w:sz w:val="21"/>
                <w:szCs w:val="21"/>
                <w:lang w:val="en-US" w:eastAsia="zh-CN"/>
              </w:rPr>
              <w:t>管理</w:t>
            </w:r>
            <w:r>
              <w:rPr>
                <w:rFonts w:hint="eastAsia" w:ascii="宋体" w:hAnsi="宋体"/>
                <w:sz w:val="21"/>
                <w:szCs w:val="21"/>
              </w:rPr>
              <w:t>管理体系的持续改进（见相关部门检查表）。</w:t>
            </w:r>
          </w:p>
        </w:tc>
        <w:tc>
          <w:tcPr>
            <w:tcW w:w="1585" w:type="dxa"/>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spacing w:line="360" w:lineRule="auto"/>
              <w:rPr>
                <w:rFonts w:hint="eastAsia" w:ascii="Times New Roman" w:hAnsi="Times New Roman" w:eastAsia="宋体" w:cs="Times New Roman"/>
                <w:kern w:val="2"/>
                <w:sz w:val="21"/>
                <w:u w:val="none"/>
                <w:lang w:val="en-US" w:eastAsia="zh-CN" w:bidi="ar-SA"/>
              </w:rPr>
            </w:pPr>
            <w:r>
              <w:rPr>
                <w:rFonts w:hint="eastAsia"/>
                <w:u w:val="none"/>
              </w:rPr>
              <w:t>内部审核</w:t>
            </w:r>
          </w:p>
        </w:tc>
        <w:tc>
          <w:tcPr>
            <w:tcW w:w="998" w:type="dxa"/>
            <w:vAlign w:val="top"/>
          </w:tcPr>
          <w:p>
            <w:pPr>
              <w:spacing w:line="360" w:lineRule="auto"/>
              <w:rPr>
                <w:rFonts w:hint="eastAsia" w:ascii="Times New Roman" w:hAnsi="Times New Roman" w:eastAsia="宋体" w:cs="Times New Roman"/>
                <w:kern w:val="2"/>
                <w:sz w:val="21"/>
                <w:u w:val="none"/>
                <w:lang w:val="en-US" w:eastAsia="zh-CN" w:bidi="ar-SA"/>
              </w:rPr>
            </w:pPr>
            <w:r>
              <w:rPr>
                <w:rFonts w:hint="eastAsia"/>
                <w:u w:val="none"/>
              </w:rPr>
              <w:t>QE</w:t>
            </w:r>
            <w:r>
              <w:rPr>
                <w:u w:val="none"/>
              </w:rPr>
              <w:t>O</w:t>
            </w:r>
            <w:r>
              <w:rPr>
                <w:rFonts w:hint="eastAsia"/>
                <w:u w:val="none"/>
              </w:rPr>
              <w:t>9.</w:t>
            </w:r>
            <w:r>
              <w:rPr>
                <w:u w:val="none"/>
              </w:rPr>
              <w:t>2</w:t>
            </w:r>
          </w:p>
        </w:tc>
        <w:tc>
          <w:tcPr>
            <w:tcW w:w="10004" w:type="dxa"/>
            <w:vAlign w:val="center"/>
          </w:tcPr>
          <w:p>
            <w:pPr>
              <w:spacing w:line="360" w:lineRule="auto"/>
              <w:ind w:firstLine="420" w:firstLineChars="200"/>
              <w:rPr>
                <w:szCs w:val="21"/>
                <w:u w:val="none"/>
              </w:rPr>
            </w:pPr>
            <w:r>
              <w:rPr>
                <w:rFonts w:hint="eastAsia"/>
                <w:szCs w:val="21"/>
                <w:u w:val="none"/>
              </w:rPr>
              <w:t>编制了《内部审核</w:t>
            </w:r>
            <w:r>
              <w:rPr>
                <w:rFonts w:hint="eastAsia"/>
                <w:szCs w:val="21"/>
                <w:u w:val="none"/>
                <w:lang w:val="en-US" w:eastAsia="zh-CN"/>
              </w:rPr>
              <w:t>控制</w:t>
            </w:r>
            <w:r>
              <w:rPr>
                <w:rFonts w:hint="eastAsia"/>
                <w:szCs w:val="21"/>
                <w:u w:val="none"/>
              </w:rPr>
              <w:t>程序》，由管代定期组织每年进行一次内审，间隔不超过12月份，全体内审员参加。</w:t>
            </w:r>
          </w:p>
          <w:p>
            <w:pPr>
              <w:spacing w:line="360" w:lineRule="auto"/>
              <w:ind w:firstLine="420" w:firstLineChars="200"/>
              <w:rPr>
                <w:szCs w:val="21"/>
                <w:u w:val="none"/>
              </w:rPr>
            </w:pPr>
            <w:r>
              <w:rPr>
                <w:rFonts w:hint="eastAsia"/>
                <w:szCs w:val="21"/>
                <w:u w:val="none"/>
              </w:rPr>
              <w:t>依据</w:t>
            </w:r>
            <w:r>
              <w:rPr>
                <w:szCs w:val="21"/>
                <w:u w:val="none"/>
              </w:rPr>
              <w:t>GB/T 1</w:t>
            </w:r>
            <w:r>
              <w:rPr>
                <w:rFonts w:hint="eastAsia"/>
                <w:szCs w:val="21"/>
                <w:u w:val="none"/>
              </w:rPr>
              <w:t>9001-201</w:t>
            </w:r>
            <w:r>
              <w:rPr>
                <w:szCs w:val="21"/>
                <w:u w:val="none"/>
              </w:rPr>
              <w:t>6</w:t>
            </w:r>
            <w:r>
              <w:rPr>
                <w:rFonts w:hint="eastAsia"/>
                <w:szCs w:val="21"/>
                <w:u w:val="none"/>
              </w:rPr>
              <w:t>、</w:t>
            </w:r>
            <w:r>
              <w:rPr>
                <w:szCs w:val="21"/>
                <w:u w:val="none"/>
              </w:rPr>
              <w:t>GB/T 24</w:t>
            </w:r>
            <w:r>
              <w:rPr>
                <w:rFonts w:hint="eastAsia"/>
                <w:szCs w:val="21"/>
                <w:u w:val="none"/>
              </w:rPr>
              <w:t>001-201</w:t>
            </w:r>
            <w:r>
              <w:rPr>
                <w:szCs w:val="21"/>
                <w:u w:val="none"/>
              </w:rPr>
              <w:t>6</w:t>
            </w:r>
            <w:r>
              <w:rPr>
                <w:rFonts w:hint="eastAsia"/>
                <w:szCs w:val="21"/>
                <w:u w:val="none"/>
              </w:rPr>
              <w:t>、</w:t>
            </w:r>
            <w:r>
              <w:rPr>
                <w:szCs w:val="21"/>
                <w:u w:val="none"/>
              </w:rPr>
              <w:t>GB/T 45</w:t>
            </w:r>
            <w:r>
              <w:rPr>
                <w:rFonts w:hint="eastAsia"/>
                <w:szCs w:val="21"/>
                <w:u w:val="none"/>
              </w:rPr>
              <w:t>001</w:t>
            </w:r>
            <w:r>
              <w:rPr>
                <w:szCs w:val="21"/>
                <w:u w:val="none"/>
              </w:rPr>
              <w:t>-2020</w:t>
            </w:r>
            <w:r>
              <w:rPr>
                <w:rFonts w:hint="eastAsia"/>
                <w:szCs w:val="21"/>
                <w:u w:val="none"/>
              </w:rPr>
              <w:t>标准、体系文件、相关法律法规等.</w:t>
            </w:r>
          </w:p>
          <w:p>
            <w:pPr>
              <w:spacing w:line="360" w:lineRule="auto"/>
              <w:ind w:firstLine="420" w:firstLineChars="200"/>
              <w:rPr>
                <w:szCs w:val="21"/>
                <w:u w:val="none"/>
              </w:rPr>
            </w:pPr>
            <w:r>
              <w:rPr>
                <w:rFonts w:hint="eastAsia"/>
                <w:szCs w:val="21"/>
                <w:u w:val="none"/>
              </w:rPr>
              <w:t>提供《20</w:t>
            </w:r>
            <w:r>
              <w:rPr>
                <w:szCs w:val="21"/>
                <w:u w:val="none"/>
              </w:rPr>
              <w:t>20</w:t>
            </w:r>
            <w:r>
              <w:rPr>
                <w:rFonts w:hint="eastAsia"/>
                <w:szCs w:val="21"/>
                <w:u w:val="none"/>
              </w:rPr>
              <w:t>年度内部审核计划》，内审安排1次。明确审核目的、范围、依据、日期（20</w:t>
            </w:r>
            <w:r>
              <w:rPr>
                <w:szCs w:val="21"/>
                <w:u w:val="none"/>
              </w:rPr>
              <w:t>20.</w:t>
            </w:r>
            <w:r>
              <w:rPr>
                <w:rFonts w:hint="eastAsia"/>
                <w:szCs w:val="21"/>
                <w:u w:val="none"/>
                <w:lang w:val="en-US" w:eastAsia="zh-CN"/>
              </w:rPr>
              <w:t>9.5</w:t>
            </w:r>
            <w:r>
              <w:rPr>
                <w:rFonts w:hint="eastAsia"/>
                <w:szCs w:val="21"/>
                <w:u w:val="none"/>
              </w:rPr>
              <w:t>），编制:</w:t>
            </w:r>
            <w:r>
              <w:rPr>
                <w:rFonts w:hint="eastAsia"/>
                <w:szCs w:val="21"/>
                <w:u w:val="none"/>
                <w:lang w:val="en-US" w:eastAsia="zh-CN"/>
              </w:rPr>
              <w:t>高翡</w:t>
            </w:r>
            <w:r>
              <w:rPr>
                <w:rFonts w:hint="eastAsia"/>
                <w:szCs w:val="21"/>
                <w:u w:val="none"/>
              </w:rPr>
              <w:t xml:space="preserve">  审批：</w:t>
            </w:r>
            <w:r>
              <w:rPr>
                <w:rFonts w:hint="eastAsia"/>
                <w:szCs w:val="21"/>
                <w:u w:val="none"/>
                <w:lang w:val="en-US" w:eastAsia="zh-CN"/>
              </w:rPr>
              <w:t>严恪</w:t>
            </w:r>
            <w:r>
              <w:rPr>
                <w:rFonts w:hint="eastAsia"/>
                <w:szCs w:val="21"/>
                <w:u w:val="none"/>
              </w:rPr>
              <w:t>。</w:t>
            </w:r>
          </w:p>
          <w:p>
            <w:pPr>
              <w:spacing w:line="360" w:lineRule="auto"/>
              <w:ind w:firstLine="420" w:firstLineChars="200"/>
              <w:rPr>
                <w:szCs w:val="21"/>
                <w:u w:val="none"/>
              </w:rPr>
            </w:pPr>
            <w:r>
              <w:rPr>
                <w:rFonts w:hint="eastAsia"/>
                <w:szCs w:val="21"/>
                <w:u w:val="none"/>
              </w:rPr>
              <w:t>提供QEO《审核实施计划》；内部审核计划日程安排：2020.9.8-9，组长：薛宇航，组员：王子怡，有培训记录和总经理的任命书；</w:t>
            </w:r>
          </w:p>
          <w:p>
            <w:pPr>
              <w:spacing w:line="360" w:lineRule="auto"/>
              <w:ind w:firstLine="420" w:firstLineChars="200"/>
              <w:rPr>
                <w:szCs w:val="21"/>
                <w:u w:val="none"/>
              </w:rPr>
            </w:pPr>
            <w:r>
              <w:rPr>
                <w:rFonts w:hint="eastAsia"/>
                <w:szCs w:val="21"/>
                <w:u w:val="none"/>
              </w:rPr>
              <w:t>审核目的、依据、范围和方法及审核安排，计划覆盖的部门或条款基本齐全，查看内审相关资料，内部质量管理体系审核实施，共有</w:t>
            </w:r>
            <w:r>
              <w:rPr>
                <w:rFonts w:hint="eastAsia"/>
                <w:szCs w:val="21"/>
                <w:u w:val="none"/>
                <w:lang w:val="en-US" w:eastAsia="zh-CN"/>
              </w:rPr>
              <w:t>7</w:t>
            </w:r>
            <w:r>
              <w:rPr>
                <w:rFonts w:hint="eastAsia"/>
                <w:szCs w:val="21"/>
                <w:u w:val="none"/>
              </w:rPr>
              <w:t>人参加会议，其中：包括总经理、体系推行人、各部门负责人（查参加部门、人员基本齐全），计划内容涉及各部门，条款覆盖整个体系，时间安排合理。同时考虑到互查的公正性，有签到表。</w:t>
            </w:r>
          </w:p>
          <w:p>
            <w:pPr>
              <w:spacing w:line="360" w:lineRule="auto"/>
              <w:ind w:firstLine="420" w:firstLineChars="200"/>
              <w:rPr>
                <w:szCs w:val="21"/>
                <w:u w:val="none"/>
              </w:rPr>
            </w:pPr>
            <w:r>
              <w:rPr>
                <w:rFonts w:hint="eastAsia"/>
                <w:szCs w:val="21"/>
                <w:u w:val="none"/>
              </w:rPr>
              <w:t>查《内审检查表》，有</w:t>
            </w:r>
            <w:r>
              <w:rPr>
                <w:rFonts w:hint="eastAsia"/>
                <w:color w:val="000000"/>
                <w:szCs w:val="21"/>
                <w:u w:val="none"/>
                <w:lang w:eastAsia="zh-CN"/>
              </w:rPr>
              <w:t>综合部</w:t>
            </w:r>
            <w:r>
              <w:rPr>
                <w:rFonts w:hint="eastAsia"/>
                <w:color w:val="000000"/>
                <w:szCs w:val="21"/>
                <w:u w:val="none"/>
              </w:rPr>
              <w:t>、</w:t>
            </w:r>
            <w:r>
              <w:rPr>
                <w:rFonts w:hint="eastAsia"/>
                <w:color w:val="000000"/>
                <w:szCs w:val="21"/>
                <w:u w:val="none"/>
                <w:lang w:val="en-US" w:eastAsia="zh-CN"/>
              </w:rPr>
              <w:t>财务</w:t>
            </w:r>
            <w:r>
              <w:rPr>
                <w:rFonts w:hint="eastAsia"/>
                <w:color w:val="000000"/>
                <w:szCs w:val="21"/>
                <w:u w:val="none"/>
              </w:rPr>
              <w:t>部、</w:t>
            </w:r>
            <w:r>
              <w:rPr>
                <w:rFonts w:hint="eastAsia"/>
                <w:color w:val="000000"/>
                <w:szCs w:val="21"/>
                <w:u w:val="none"/>
                <w:lang w:val="en-US" w:eastAsia="zh-CN"/>
              </w:rPr>
              <w:t>运营管理</w:t>
            </w:r>
            <w:r>
              <w:rPr>
                <w:rFonts w:hint="eastAsia"/>
                <w:color w:val="000000"/>
                <w:szCs w:val="21"/>
                <w:u w:val="none"/>
              </w:rPr>
              <w:t>部</w:t>
            </w:r>
            <w:r>
              <w:rPr>
                <w:rFonts w:hint="eastAsia"/>
                <w:szCs w:val="21"/>
                <w:u w:val="none"/>
              </w:rPr>
              <w:t>等部门的审核记录，条款与策划一致，记录真实、完整。包括QEO体系所有条款，没有遗漏。</w:t>
            </w:r>
          </w:p>
          <w:p>
            <w:pPr>
              <w:spacing w:line="360" w:lineRule="auto"/>
              <w:ind w:firstLine="420" w:firstLineChars="200"/>
              <w:rPr>
                <w:szCs w:val="21"/>
                <w:u w:val="none"/>
              </w:rPr>
            </w:pPr>
            <w:r>
              <w:rPr>
                <w:rFonts w:hint="eastAsia"/>
                <w:szCs w:val="21"/>
                <w:u w:val="none"/>
              </w:rPr>
              <w:t>查《不合格报告》本次开具不符合报告</w:t>
            </w:r>
            <w:r>
              <w:rPr>
                <w:rFonts w:hint="eastAsia"/>
                <w:szCs w:val="21"/>
                <w:u w:val="none"/>
                <w:lang w:val="en-US" w:eastAsia="zh-CN"/>
              </w:rPr>
              <w:t>1</w:t>
            </w:r>
            <w:r>
              <w:rPr>
                <w:rFonts w:hint="eastAsia"/>
                <w:szCs w:val="21"/>
                <w:u w:val="none"/>
              </w:rPr>
              <w:t>份，主要涉及Q</w:t>
            </w:r>
            <w:r>
              <w:rPr>
                <w:rFonts w:hint="eastAsia"/>
                <w:szCs w:val="21"/>
                <w:u w:val="none"/>
                <w:lang w:val="en-US" w:eastAsia="zh-CN"/>
              </w:rPr>
              <w:t>7.2</w:t>
            </w:r>
            <w:r>
              <w:rPr>
                <w:rFonts w:hint="eastAsia"/>
                <w:szCs w:val="21"/>
                <w:u w:val="none"/>
              </w:rPr>
              <w:t>/</w:t>
            </w:r>
            <w:r>
              <w:rPr>
                <w:szCs w:val="21"/>
                <w:u w:val="none"/>
              </w:rPr>
              <w:t>E</w:t>
            </w:r>
            <w:r>
              <w:rPr>
                <w:rFonts w:hint="eastAsia"/>
                <w:szCs w:val="21"/>
                <w:u w:val="none"/>
              </w:rPr>
              <w:t>O</w:t>
            </w:r>
            <w:r>
              <w:rPr>
                <w:rFonts w:hint="eastAsia"/>
                <w:szCs w:val="21"/>
                <w:u w:val="none"/>
                <w:lang w:val="en-US" w:eastAsia="zh-CN"/>
              </w:rPr>
              <w:t>7.2</w:t>
            </w:r>
            <w:r>
              <w:rPr>
                <w:rFonts w:hint="eastAsia"/>
                <w:szCs w:val="21"/>
                <w:u w:val="none"/>
              </w:rPr>
              <w:t>条款。对于不符合项所采取的纠正等措施，各内审员逐一进行了验证。上述内容记录完整。</w:t>
            </w:r>
          </w:p>
          <w:p>
            <w:pPr>
              <w:spacing w:line="360" w:lineRule="auto"/>
              <w:ind w:firstLine="420" w:firstLineChars="200"/>
              <w:rPr>
                <w:szCs w:val="21"/>
                <w:u w:val="none"/>
              </w:rPr>
            </w:pPr>
            <w:r>
              <w:rPr>
                <w:rFonts w:hint="eastAsia"/>
                <w:szCs w:val="21"/>
                <w:u w:val="none"/>
              </w:rPr>
              <w:t>提供《内部审核报告》，结论： 公司建立的质量/环境/职业健康安全管理体系基本符合</w:t>
            </w:r>
            <w:r>
              <w:rPr>
                <w:szCs w:val="21"/>
                <w:u w:val="none"/>
              </w:rPr>
              <w:t>GB/T 1</w:t>
            </w:r>
            <w:r>
              <w:rPr>
                <w:rFonts w:hint="eastAsia"/>
                <w:szCs w:val="21"/>
                <w:u w:val="none"/>
              </w:rPr>
              <w:t>9001-201</w:t>
            </w:r>
            <w:r>
              <w:rPr>
                <w:szCs w:val="21"/>
                <w:u w:val="none"/>
              </w:rPr>
              <w:t>6</w:t>
            </w:r>
            <w:r>
              <w:rPr>
                <w:rFonts w:hint="eastAsia"/>
                <w:szCs w:val="21"/>
                <w:u w:val="none"/>
              </w:rPr>
              <w:t>、</w:t>
            </w:r>
            <w:r>
              <w:rPr>
                <w:szCs w:val="21"/>
                <w:u w:val="none"/>
              </w:rPr>
              <w:t>GB/T 24</w:t>
            </w:r>
            <w:r>
              <w:rPr>
                <w:rFonts w:hint="eastAsia"/>
                <w:szCs w:val="21"/>
                <w:u w:val="none"/>
              </w:rPr>
              <w:t>001-201</w:t>
            </w:r>
            <w:r>
              <w:rPr>
                <w:szCs w:val="21"/>
                <w:u w:val="none"/>
              </w:rPr>
              <w:t>6</w:t>
            </w:r>
            <w:r>
              <w:rPr>
                <w:rFonts w:hint="eastAsia"/>
                <w:szCs w:val="21"/>
                <w:u w:val="none"/>
              </w:rPr>
              <w:t>、</w:t>
            </w:r>
            <w:r>
              <w:rPr>
                <w:szCs w:val="21"/>
                <w:u w:val="none"/>
              </w:rPr>
              <w:t>GB/T 45</w:t>
            </w:r>
            <w:r>
              <w:rPr>
                <w:rFonts w:hint="eastAsia"/>
                <w:szCs w:val="21"/>
                <w:u w:val="none"/>
              </w:rPr>
              <w:t>001</w:t>
            </w:r>
            <w:r>
              <w:rPr>
                <w:szCs w:val="21"/>
                <w:u w:val="none"/>
              </w:rPr>
              <w:t>:</w:t>
            </w:r>
            <w:r>
              <w:rPr>
                <w:rFonts w:hint="eastAsia"/>
                <w:szCs w:val="21"/>
                <w:u w:val="none"/>
              </w:rPr>
              <w:t>20</w:t>
            </w:r>
            <w:r>
              <w:rPr>
                <w:szCs w:val="21"/>
                <w:u w:val="none"/>
              </w:rPr>
              <w:t>20</w:t>
            </w:r>
            <w:r>
              <w:rPr>
                <w:rFonts w:hint="eastAsia"/>
                <w:szCs w:val="21"/>
                <w:u w:val="none"/>
              </w:rPr>
              <w:t>标准要求。管理体系的运行是适宜的、充分的、有效的。</w:t>
            </w:r>
          </w:p>
          <w:p>
            <w:pPr>
              <w:spacing w:line="360" w:lineRule="auto"/>
              <w:ind w:firstLine="480" w:firstLineChars="0"/>
              <w:jc w:val="left"/>
              <w:rPr>
                <w:rFonts w:hint="eastAsia" w:ascii="Times New Roman" w:hAnsi="Times New Roman" w:eastAsia="宋体" w:cs="Times New Roman"/>
                <w:kern w:val="2"/>
                <w:sz w:val="21"/>
                <w:szCs w:val="21"/>
                <w:u w:val="none"/>
                <w:lang w:val="en-US" w:eastAsia="zh-CN" w:bidi="ar-SA"/>
              </w:rPr>
            </w:pPr>
            <w:r>
              <w:rPr>
                <w:rFonts w:hint="eastAsia"/>
                <w:szCs w:val="21"/>
                <w:u w:val="none"/>
              </w:rPr>
              <w:t>查上述资料反映：能保留形成文件的信息，作为实施审核方案以及审核结果的证据。</w:t>
            </w:r>
          </w:p>
        </w:tc>
        <w:tc>
          <w:tcPr>
            <w:tcW w:w="1585" w:type="dxa"/>
            <w:vAlign w:val="top"/>
          </w:tcPr>
          <w:p>
            <w:pPr>
              <w:spacing w:line="360" w:lineRule="auto"/>
              <w:rPr>
                <w:rFonts w:hint="eastAsia" w:ascii="Times New Roman" w:hAnsi="Times New Roman" w:eastAsia="宋体" w:cs="Times New Roman"/>
                <w:kern w:val="2"/>
                <w:sz w:val="21"/>
                <w:u w:val="none"/>
                <w:lang w:val="en-US" w:eastAsia="zh-CN" w:bidi="ar-SA"/>
              </w:rPr>
            </w:pPr>
            <w:r>
              <w:rPr>
                <w:rFonts w:hint="eastAsia"/>
                <w:u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spacing w:line="360" w:lineRule="auto"/>
              <w:rPr>
                <w:rFonts w:hint="eastAsia"/>
                <w:u w:val="none"/>
              </w:rPr>
            </w:pPr>
            <w:r>
              <w:rPr>
                <w:rFonts w:hint="eastAsia" w:ascii="宋体" w:hAnsi="宋体" w:cs="Arial"/>
                <w:sz w:val="21"/>
                <w:szCs w:val="21"/>
              </w:rPr>
              <w:t>不符合/事件和纠正措施</w:t>
            </w:r>
          </w:p>
        </w:tc>
        <w:tc>
          <w:tcPr>
            <w:tcW w:w="998" w:type="dxa"/>
            <w:vAlign w:val="top"/>
          </w:tcPr>
          <w:p>
            <w:pPr>
              <w:spacing w:line="360" w:lineRule="auto"/>
              <w:rPr>
                <w:rFonts w:hint="eastAsia"/>
                <w:u w:val="none"/>
              </w:rPr>
            </w:pPr>
            <w:r>
              <w:rPr>
                <w:rFonts w:hint="eastAsia"/>
                <w:u w:val="none"/>
              </w:rPr>
              <w:t>QE</w:t>
            </w:r>
            <w:r>
              <w:rPr>
                <w:u w:val="none"/>
              </w:rPr>
              <w:t>O</w:t>
            </w:r>
            <w:r>
              <w:rPr>
                <w:rFonts w:hint="eastAsia"/>
                <w:u w:val="none"/>
                <w:lang w:val="en-US" w:eastAsia="zh-CN"/>
              </w:rPr>
              <w:t>10</w:t>
            </w:r>
            <w:r>
              <w:rPr>
                <w:rFonts w:hint="eastAsia"/>
                <w:u w:val="none"/>
              </w:rPr>
              <w:t>.</w:t>
            </w:r>
            <w:r>
              <w:rPr>
                <w:u w:val="none"/>
              </w:rPr>
              <w:t>2</w:t>
            </w:r>
          </w:p>
        </w:tc>
        <w:tc>
          <w:tcPr>
            <w:tcW w:w="10004" w:type="dxa"/>
            <w:vAlign w:val="center"/>
          </w:tcPr>
          <w:p>
            <w:pPr>
              <w:spacing w:line="360" w:lineRule="auto"/>
              <w:ind w:firstLine="480" w:firstLineChars="0"/>
              <w:jc w:val="left"/>
              <w:rPr>
                <w:rFonts w:hint="default" w:ascii="Times New Roman" w:hAnsi="Times New Roman" w:eastAsia="宋体" w:cs="Times New Roman"/>
                <w:szCs w:val="21"/>
                <w:u w:val="none"/>
              </w:rPr>
            </w:pPr>
            <w:r>
              <w:rPr>
                <w:rFonts w:hint="eastAsia" w:ascii="Times New Roman" w:hAnsi="Times New Roman" w:eastAsia="宋体" w:cs="Times New Roman"/>
                <w:szCs w:val="21"/>
                <w:u w:val="none"/>
              </w:rPr>
              <w:t>查：公司编制有</w:t>
            </w:r>
            <w:r>
              <w:rPr>
                <w:rFonts w:hint="eastAsia" w:ascii="Times New Roman" w:hAnsi="Times New Roman" w:eastAsia="宋体" w:cs="Times New Roman"/>
                <w:szCs w:val="21"/>
                <w:u w:val="none"/>
                <w:lang w:eastAsia="zh-CN"/>
              </w:rPr>
              <w:t>《</w:t>
            </w:r>
            <w:r>
              <w:rPr>
                <w:rFonts w:hint="eastAsia" w:ascii="Times New Roman" w:hAnsi="Times New Roman" w:eastAsia="宋体" w:cs="Times New Roman"/>
                <w:szCs w:val="21"/>
                <w:u w:val="none"/>
              </w:rPr>
              <w:t>不符合控制程序</w:t>
            </w:r>
            <w:r>
              <w:rPr>
                <w:rFonts w:hint="eastAsia" w:ascii="Times New Roman" w:hAnsi="Times New Roman" w:eastAsia="宋体" w:cs="Times New Roman"/>
                <w:szCs w:val="21"/>
                <w:u w:val="none"/>
                <w:lang w:eastAsia="zh-CN"/>
              </w:rPr>
              <w:t>》</w:t>
            </w:r>
            <w:r>
              <w:rPr>
                <w:rFonts w:hint="eastAsia" w:ascii="Times New Roman" w:hAnsi="Times New Roman" w:eastAsia="宋体" w:cs="Times New Roman"/>
                <w:szCs w:val="21"/>
                <w:u w:val="none"/>
              </w:rPr>
              <w:t>《纠正措施控制程序》</w:t>
            </w:r>
            <w:r>
              <w:rPr>
                <w:rFonts w:hint="eastAsia" w:ascii="Times New Roman" w:hAnsi="Times New Roman" w:eastAsia="宋体" w:cs="Times New Roman"/>
                <w:szCs w:val="21"/>
                <w:u w:val="none"/>
                <w:lang w:eastAsia="zh-CN"/>
              </w:rPr>
              <w:t>《</w:t>
            </w:r>
            <w:r>
              <w:rPr>
                <w:rFonts w:hint="eastAsia" w:ascii="Times New Roman" w:hAnsi="Times New Roman" w:eastAsia="宋体" w:cs="Times New Roman"/>
                <w:szCs w:val="21"/>
                <w:u w:val="none"/>
              </w:rPr>
              <w:t>预防措施控制程序</w:t>
            </w:r>
            <w:r>
              <w:rPr>
                <w:rFonts w:hint="eastAsia" w:ascii="Times New Roman" w:hAnsi="Times New Roman" w:eastAsia="宋体" w:cs="Times New Roman"/>
                <w:szCs w:val="21"/>
                <w:u w:val="none"/>
                <w:lang w:eastAsia="zh-CN"/>
              </w:rPr>
              <w:t>》</w:t>
            </w:r>
            <w:r>
              <w:rPr>
                <w:rFonts w:hint="eastAsia" w:ascii="Times New Roman" w:hAnsi="Times New Roman" w:eastAsia="宋体" w:cs="Times New Roman"/>
                <w:szCs w:val="21"/>
                <w:u w:val="none"/>
              </w:rPr>
              <w:t>，规定了发现不合格应采取纠正措施的具体要求，并按要求进行了控制。</w:t>
            </w:r>
          </w:p>
          <w:p>
            <w:pPr>
              <w:spacing w:line="360" w:lineRule="auto"/>
              <w:ind w:firstLine="480" w:firstLineChars="0"/>
              <w:jc w:val="left"/>
              <w:rPr>
                <w:rFonts w:hint="default" w:ascii="Times New Roman" w:hAnsi="Times New Roman" w:eastAsia="宋体" w:cs="Times New Roman"/>
                <w:szCs w:val="21"/>
                <w:u w:val="none"/>
              </w:rPr>
            </w:pPr>
            <w:r>
              <w:rPr>
                <w:rFonts w:hint="eastAsia" w:ascii="Times New Roman" w:hAnsi="Times New Roman" w:eastAsia="宋体" w:cs="Times New Roman"/>
                <w:szCs w:val="21"/>
                <w:u w:val="none"/>
              </w:rPr>
              <w:t>抽查内审《不符合报告》，针对内审中发现的不合格事实，责任部门进行了原因分析，制定了纠正措施并实施，涉及</w:t>
            </w:r>
            <w:r>
              <w:rPr>
                <w:rFonts w:hint="eastAsia" w:ascii="Times New Roman" w:hAnsi="Times New Roman" w:eastAsia="宋体" w:cs="Times New Roman"/>
                <w:szCs w:val="21"/>
                <w:u w:val="none"/>
                <w:lang w:val="en-US" w:eastAsia="zh-CN"/>
              </w:rPr>
              <w:t>综合部7.2条</w:t>
            </w:r>
            <w:r>
              <w:rPr>
                <w:rFonts w:hint="eastAsia" w:ascii="Times New Roman" w:hAnsi="Times New Roman" w:eastAsia="宋体" w:cs="Times New Roman"/>
                <w:szCs w:val="21"/>
                <w:u w:val="none"/>
              </w:rPr>
              <w:t>款的不符合项，经验证整改有效。</w:t>
            </w:r>
          </w:p>
          <w:p>
            <w:pPr>
              <w:spacing w:line="360" w:lineRule="auto"/>
              <w:ind w:firstLine="480" w:firstLineChars="0"/>
              <w:jc w:val="left"/>
              <w:rPr>
                <w:rFonts w:hint="eastAsia" w:ascii="Times New Roman" w:hAnsi="Times New Roman" w:eastAsia="宋体" w:cs="Times New Roman"/>
                <w:szCs w:val="21"/>
                <w:u w:val="none"/>
              </w:rPr>
            </w:pPr>
            <w:r>
              <w:rPr>
                <w:rFonts w:hint="eastAsia" w:ascii="Times New Roman" w:hAnsi="Times New Roman" w:eastAsia="宋体" w:cs="Times New Roman"/>
                <w:szCs w:val="21"/>
                <w:u w:val="none"/>
              </w:rPr>
              <w:t>体系运行的</w:t>
            </w:r>
            <w:r>
              <w:rPr>
                <w:rFonts w:hint="default" w:ascii="Times New Roman" w:hAnsi="Times New Roman" w:eastAsia="宋体" w:cs="Times New Roman"/>
                <w:szCs w:val="21"/>
                <w:u w:val="none"/>
              </w:rPr>
              <w:t>其他方面经过日常工作检查和数据分析，暂未发现应采取纠正和预防措施的机会。日后应进一步加大日常工作检查力度，及时发现不符合及潜在不符合并及时采取相应措施，持续改进体系的有效性。</w:t>
            </w:r>
          </w:p>
        </w:tc>
        <w:tc>
          <w:tcPr>
            <w:tcW w:w="1585" w:type="dxa"/>
            <w:vAlign w:val="top"/>
          </w:tcPr>
          <w:p>
            <w:pPr>
              <w:spacing w:line="360" w:lineRule="auto"/>
              <w:rPr>
                <w:rFonts w:hint="eastAsia"/>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09" w:type="dxa"/>
            <w:gridSpan w:val="4"/>
          </w:tcPr>
          <w:p>
            <w:pPr>
              <w:spacing w:line="360" w:lineRule="auto"/>
              <w:rPr>
                <w:rFonts w:hint="eastAsia"/>
              </w:rPr>
            </w:pPr>
            <w:r>
              <w:rPr>
                <w:rFonts w:hint="eastAsia"/>
                <w:lang w:val="en-US" w:eastAsia="zh-CN"/>
              </w:rPr>
              <w:t>备注：</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169EC"/>
    <w:multiLevelType w:val="multilevel"/>
    <w:tmpl w:val="4DA169EC"/>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B19FF"/>
    <w:rsid w:val="001C57A3"/>
    <w:rsid w:val="001F0E7B"/>
    <w:rsid w:val="001F37CF"/>
    <w:rsid w:val="001F77E0"/>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832CA"/>
    <w:rsid w:val="00497971"/>
    <w:rsid w:val="004B20B2"/>
    <w:rsid w:val="004B4B24"/>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676DC"/>
    <w:rsid w:val="005A2330"/>
    <w:rsid w:val="005A23B2"/>
    <w:rsid w:val="005B6C34"/>
    <w:rsid w:val="005D2531"/>
    <w:rsid w:val="005F04E5"/>
    <w:rsid w:val="00621578"/>
    <w:rsid w:val="00621EA2"/>
    <w:rsid w:val="006256EF"/>
    <w:rsid w:val="00646303"/>
    <w:rsid w:val="0066353B"/>
    <w:rsid w:val="00663A52"/>
    <w:rsid w:val="00665E60"/>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97BA7"/>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11D5E"/>
    <w:rsid w:val="0092791F"/>
    <w:rsid w:val="00954D65"/>
    <w:rsid w:val="00955C0E"/>
    <w:rsid w:val="00976860"/>
    <w:rsid w:val="00991AEB"/>
    <w:rsid w:val="00992529"/>
    <w:rsid w:val="009977CF"/>
    <w:rsid w:val="009B1072"/>
    <w:rsid w:val="00A01526"/>
    <w:rsid w:val="00A23D1B"/>
    <w:rsid w:val="00A30F85"/>
    <w:rsid w:val="00A52229"/>
    <w:rsid w:val="00A76F84"/>
    <w:rsid w:val="00A86196"/>
    <w:rsid w:val="00A94706"/>
    <w:rsid w:val="00AB5CFD"/>
    <w:rsid w:val="00AE6698"/>
    <w:rsid w:val="00B007F3"/>
    <w:rsid w:val="00B03AA7"/>
    <w:rsid w:val="00B119B7"/>
    <w:rsid w:val="00B361C1"/>
    <w:rsid w:val="00B531A8"/>
    <w:rsid w:val="00B53B05"/>
    <w:rsid w:val="00B6239E"/>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A22FF"/>
    <w:rsid w:val="00DE1A2C"/>
    <w:rsid w:val="00DE2FCE"/>
    <w:rsid w:val="00DF19AB"/>
    <w:rsid w:val="00E0114F"/>
    <w:rsid w:val="00E11BD3"/>
    <w:rsid w:val="00E17655"/>
    <w:rsid w:val="00E219A3"/>
    <w:rsid w:val="00E41911"/>
    <w:rsid w:val="00E556FE"/>
    <w:rsid w:val="00E707CA"/>
    <w:rsid w:val="00E944DC"/>
    <w:rsid w:val="00E97080"/>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1F3"/>
    <w:rsid w:val="00FF0A51"/>
    <w:rsid w:val="00FF1D21"/>
    <w:rsid w:val="00FF5E6D"/>
    <w:rsid w:val="0A755CD1"/>
    <w:rsid w:val="11B844E6"/>
    <w:rsid w:val="158E45BA"/>
    <w:rsid w:val="161E6C04"/>
    <w:rsid w:val="163E2E11"/>
    <w:rsid w:val="1EED5939"/>
    <w:rsid w:val="315A769F"/>
    <w:rsid w:val="42684491"/>
    <w:rsid w:val="45060F3E"/>
    <w:rsid w:val="48012986"/>
    <w:rsid w:val="4DED56EF"/>
    <w:rsid w:val="67500C85"/>
    <w:rsid w:val="6BE870B8"/>
    <w:rsid w:val="73C01D14"/>
    <w:rsid w:val="747D06DB"/>
    <w:rsid w:val="7AD237C2"/>
    <w:rsid w:val="7CCE011F"/>
    <w:rsid w:val="7F6838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w:basedOn w:val="1"/>
    <w:qFormat/>
    <w:uiPriority w:val="0"/>
    <w:rPr>
      <w:rFonts w:ascii="仿宋_GB2312" w:eastAsia="仿宋_GB2312"/>
      <w:b/>
      <w:sz w:val="32"/>
      <w:szCs w:val="32"/>
    </w:rPr>
  </w:style>
  <w:style w:type="paragraph" w:customStyle="1" w:styleId="13">
    <w:name w:val="_Style 2"/>
    <w:basedOn w:val="1"/>
    <w:qFormat/>
    <w:uiPriority w:val="34"/>
    <w:pPr>
      <w:ind w:firstLine="420" w:firstLineChars="200"/>
    </w:pPr>
    <w:rPr>
      <w:rFonts w:ascii="Calibri" w:hAnsi="Calibri"/>
      <w:sz w:val="24"/>
      <w:szCs w:val="22"/>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779</Words>
  <Characters>4442</Characters>
  <Lines>37</Lines>
  <Paragraphs>10</Paragraphs>
  <TotalTime>0</TotalTime>
  <ScaleCrop>false</ScaleCrop>
  <LinksUpToDate>false</LinksUpToDate>
  <CharactersWithSpaces>5211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2020-12-19T05:47:18Z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