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Theme="minorEastAsia" w:hAnsiTheme="minorEastAsia" w:eastAsiaTheme="minorEastAsia" w:cstheme="minorEastAsia"/>
          <w:bCs/>
          <w:color w:val="000000"/>
          <w:sz w:val="36"/>
          <w:szCs w:val="36"/>
        </w:rPr>
        <w:t>管理体系审核记录表</w:t>
      </w:r>
      <w:r>
        <w:rPr>
          <w:rFonts w:hint="eastAsia" w:asciiTheme="minorEastAsia" w:hAnsiTheme="minorEastAsia" w:eastAsiaTheme="minorEastAsia" w:cstheme="minorEastAsia"/>
          <w:bCs/>
          <w:color w:val="000000"/>
          <w:sz w:val="36"/>
          <w:szCs w:val="36"/>
          <w:lang w:val="en-US" w:eastAsia="zh-CN"/>
        </w:rPr>
        <w:t>1</w:t>
      </w:r>
    </w:p>
    <w:tbl>
      <w:tblPr>
        <w:tblStyle w:val="17"/>
        <w:tblW w:w="14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965"/>
        <w:gridCol w:w="1092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73" w:type="dxa"/>
            <w:vMerge w:val="restart"/>
            <w:vAlign w:val="center"/>
          </w:tcPr>
          <w:p>
            <w:pPr>
              <w:spacing w:before="12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过程与活动、</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抽样计划</w:t>
            </w:r>
          </w:p>
        </w:tc>
        <w:tc>
          <w:tcPr>
            <w:tcW w:w="965" w:type="dxa"/>
            <w:vMerge w:val="restar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涉及</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条款</w:t>
            </w:r>
          </w:p>
        </w:tc>
        <w:tc>
          <w:tcPr>
            <w:tcW w:w="10927" w:type="dxa"/>
            <w:vAlign w:val="center"/>
          </w:tcPr>
          <w:p>
            <w:pPr>
              <w:rPr>
                <w:rFonts w:hint="eastAsia" w:eastAsia="宋体" w:asciiTheme="minorEastAsia" w:hAnsiTheme="minorEastAsia" w:cstheme="minorEastAsia"/>
                <w:sz w:val="21"/>
                <w:szCs w:val="21"/>
                <w:highlight w:val="none"/>
                <w:lang w:eastAsia="zh-CN"/>
              </w:rPr>
            </w:pPr>
            <w:r>
              <w:rPr>
                <w:rFonts w:ascii="Times New Roman" w:hAnsi="Times New Roman"/>
                <w:highlight w:val="none"/>
              </w:rPr>
              <w:t>受审核部门：</w:t>
            </w:r>
            <w:r>
              <w:rPr>
                <w:rFonts w:hint="eastAsia" w:ascii="宋体" w:hAnsi="宋体"/>
                <w:b/>
                <w:bCs/>
                <w:sz w:val="21"/>
                <w:szCs w:val="21"/>
                <w:highlight w:val="none"/>
                <w:lang w:val="en-US" w:eastAsia="zh-CN"/>
              </w:rPr>
              <w:t>运营管理部</w:t>
            </w:r>
            <w:r>
              <w:rPr>
                <w:rFonts w:ascii="Times New Roman" w:hAnsi="Times New Roman"/>
                <w:highlight w:val="none"/>
              </w:rPr>
              <w:t xml:space="preserve">     </w:t>
            </w:r>
            <w:r>
              <w:rPr>
                <w:rFonts w:hint="eastAsia"/>
                <w:highlight w:val="none"/>
                <w:lang w:val="en-US" w:eastAsia="zh-CN"/>
              </w:rPr>
              <w:t xml:space="preserve">   </w:t>
            </w:r>
            <w:r>
              <w:rPr>
                <w:rFonts w:ascii="Times New Roman" w:hAnsi="Times New Roman"/>
                <w:highlight w:val="none"/>
              </w:rPr>
              <w:t>主管领导：</w:t>
            </w:r>
            <w:r>
              <w:rPr>
                <w:rFonts w:hint="eastAsia"/>
                <w:highlight w:val="none"/>
                <w:lang w:eastAsia="zh-CN"/>
              </w:rPr>
              <w:t>金峰</w:t>
            </w:r>
            <w:r>
              <w:rPr>
                <w:rFonts w:ascii="Times New Roman" w:hAnsi="Times New Roman"/>
                <w:highlight w:val="none"/>
              </w:rPr>
              <w:t xml:space="preserve">  </w:t>
            </w:r>
            <w:r>
              <w:rPr>
                <w:rFonts w:hint="eastAsia" w:ascii="Times New Roman" w:hAnsi="Times New Roman"/>
                <w:highlight w:val="none"/>
              </w:rPr>
              <w:t xml:space="preserve"> </w:t>
            </w:r>
            <w:r>
              <w:rPr>
                <w:rFonts w:hint="eastAsia"/>
                <w:highlight w:val="none"/>
                <w:lang w:val="en-US" w:eastAsia="zh-CN"/>
              </w:rPr>
              <w:t xml:space="preserve">   </w:t>
            </w:r>
            <w:r>
              <w:rPr>
                <w:rFonts w:ascii="Times New Roman" w:hAnsi="Times New Roman"/>
                <w:highlight w:val="none"/>
              </w:rPr>
              <w:t xml:space="preserve"> 陪同人员：</w:t>
            </w:r>
            <w:r>
              <w:rPr>
                <w:rFonts w:hint="eastAsia"/>
                <w:highlight w:val="none"/>
                <w:lang w:eastAsia="zh-CN"/>
              </w:rPr>
              <w:t>李航泊</w:t>
            </w:r>
          </w:p>
        </w:tc>
        <w:tc>
          <w:tcPr>
            <w:tcW w:w="732"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73" w:type="dxa"/>
            <w:vMerge w:val="continue"/>
            <w:vAlign w:val="center"/>
          </w:tcPr>
          <w:p>
            <w:pPr>
              <w:rPr>
                <w:rFonts w:hint="eastAsia" w:asciiTheme="minorEastAsia" w:hAnsiTheme="minorEastAsia" w:eastAsiaTheme="minorEastAsia" w:cstheme="minorEastAsia"/>
                <w:sz w:val="21"/>
                <w:szCs w:val="21"/>
                <w:highlight w:val="none"/>
              </w:rPr>
            </w:pPr>
          </w:p>
        </w:tc>
        <w:tc>
          <w:tcPr>
            <w:tcW w:w="965" w:type="dxa"/>
            <w:vMerge w:val="continue"/>
            <w:vAlign w:val="center"/>
          </w:tcPr>
          <w:p>
            <w:pPr>
              <w:rPr>
                <w:rFonts w:hint="eastAsia" w:asciiTheme="minorEastAsia" w:hAnsiTheme="minorEastAsia" w:eastAsiaTheme="minorEastAsia" w:cstheme="minorEastAsia"/>
                <w:sz w:val="21"/>
                <w:szCs w:val="21"/>
                <w:highlight w:val="none"/>
              </w:rPr>
            </w:pPr>
          </w:p>
        </w:tc>
        <w:tc>
          <w:tcPr>
            <w:tcW w:w="10927" w:type="dxa"/>
            <w:vAlign w:val="center"/>
          </w:tcPr>
          <w:p>
            <w:pPr>
              <w:spacing w:before="12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审核员：</w:t>
            </w:r>
            <w:r>
              <w:rPr>
                <w:rFonts w:hint="eastAsia" w:asciiTheme="minorEastAsia" w:hAnsiTheme="minorEastAsia" w:eastAsiaTheme="minorEastAsia" w:cstheme="minorEastAsia"/>
                <w:color w:val="auto"/>
                <w:sz w:val="21"/>
                <w:szCs w:val="21"/>
                <w:highlight w:val="none"/>
                <w:lang w:val="en-US" w:eastAsia="zh-CN"/>
              </w:rPr>
              <w:t xml:space="preserve">王志慧     </w:t>
            </w:r>
            <w:r>
              <w:rPr>
                <w:rFonts w:hint="eastAsia" w:asciiTheme="minorEastAsia" w:hAnsiTheme="minorEastAsia" w:eastAsiaTheme="minorEastAsia" w:cstheme="minorEastAsia"/>
                <w:b w:val="0"/>
                <w:bCs w:val="0"/>
                <w:sz w:val="21"/>
                <w:szCs w:val="21"/>
                <w:highlight w:val="none"/>
                <w:lang w:val="en-US" w:eastAsia="zh-CN"/>
              </w:rPr>
              <w:t>李波(专家)</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审核时间：</w:t>
            </w:r>
            <w:r>
              <w:rPr>
                <w:rFonts w:hint="eastAsia" w:asciiTheme="minorEastAsia" w:hAnsiTheme="minorEastAsia" w:eastAsiaTheme="minorEastAsia" w:cstheme="minorEastAsia"/>
                <w:color w:val="auto"/>
                <w:sz w:val="21"/>
                <w:szCs w:val="21"/>
                <w:highlight w:val="none"/>
                <w:lang w:val="en-US" w:eastAsia="zh-CN"/>
              </w:rPr>
              <w:t>2020年12月19-20日</w:t>
            </w:r>
          </w:p>
        </w:tc>
        <w:tc>
          <w:tcPr>
            <w:tcW w:w="732"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73" w:type="dxa"/>
            <w:vMerge w:val="continue"/>
            <w:vAlign w:val="center"/>
          </w:tcPr>
          <w:p>
            <w:pPr>
              <w:rPr>
                <w:rFonts w:hint="eastAsia" w:asciiTheme="minorEastAsia" w:hAnsiTheme="minorEastAsia" w:eastAsiaTheme="minorEastAsia" w:cstheme="minorEastAsia"/>
                <w:sz w:val="21"/>
                <w:szCs w:val="21"/>
                <w:highlight w:val="none"/>
              </w:rPr>
            </w:pPr>
          </w:p>
        </w:tc>
        <w:tc>
          <w:tcPr>
            <w:tcW w:w="965" w:type="dxa"/>
            <w:vMerge w:val="continue"/>
            <w:vAlign w:val="center"/>
          </w:tcPr>
          <w:p>
            <w:pPr>
              <w:rPr>
                <w:rFonts w:hint="eastAsia" w:asciiTheme="minorEastAsia" w:hAnsiTheme="minorEastAsia" w:eastAsiaTheme="minorEastAsia" w:cstheme="minorEastAsia"/>
                <w:sz w:val="21"/>
                <w:szCs w:val="21"/>
                <w:highlight w:val="none"/>
              </w:rPr>
            </w:pPr>
          </w:p>
        </w:tc>
        <w:tc>
          <w:tcPr>
            <w:tcW w:w="10927" w:type="dxa"/>
            <w:vAlign w:val="center"/>
          </w:tcPr>
          <w:p>
            <w:pPr>
              <w:pStyle w:val="2"/>
              <w:rPr>
                <w:rFonts w:hint="eastAsia"/>
                <w:highlight w:val="none"/>
              </w:rPr>
            </w:pPr>
            <w:r>
              <w:rPr>
                <w:rFonts w:hint="eastAsia"/>
                <w:highlight w:val="none"/>
              </w:rPr>
              <w:t>审核条款：</w:t>
            </w:r>
          </w:p>
          <w:p>
            <w:pPr>
              <w:adjustRightInd w:val="0"/>
              <w:snapToGrid w:val="0"/>
              <w:spacing w:line="320" w:lineRule="exact"/>
              <w:ind w:right="105" w:rightChars="50"/>
              <w:textAlignment w:val="baseline"/>
              <w:rPr>
                <w:rFonts w:hint="eastAsia" w:ascii="宋体" w:hAnsi="宋体" w:cs="Arial"/>
                <w:sz w:val="21"/>
                <w:szCs w:val="21"/>
                <w:highlight w:val="none"/>
              </w:rPr>
            </w:pPr>
            <w:r>
              <w:rPr>
                <w:rFonts w:hint="eastAsia" w:ascii="宋体" w:hAnsi="宋体" w:cs="Arial"/>
                <w:sz w:val="21"/>
                <w:szCs w:val="21"/>
                <w:highlight w:val="none"/>
              </w:rPr>
              <w:t>Q</w:t>
            </w:r>
            <w:r>
              <w:rPr>
                <w:rFonts w:hint="eastAsia" w:ascii="宋体" w:hAnsi="宋体" w:cs="Arial"/>
                <w:sz w:val="21"/>
                <w:szCs w:val="21"/>
                <w:highlight w:val="none"/>
                <w:lang w:val="en-US" w:eastAsia="zh-CN"/>
              </w:rPr>
              <w:t>EO</w:t>
            </w:r>
            <w:r>
              <w:rPr>
                <w:rFonts w:hint="eastAsia" w:ascii="宋体" w:hAnsi="宋体" w:cs="Arial"/>
                <w:sz w:val="21"/>
                <w:szCs w:val="21"/>
                <w:highlight w:val="none"/>
              </w:rPr>
              <w:t>:5.3组织的岗位、职责和权限、6.2质量目标</w:t>
            </w:r>
            <w:r>
              <w:rPr>
                <w:rFonts w:hint="eastAsia" w:ascii="宋体" w:hAnsi="宋体" w:cs="Arial"/>
                <w:sz w:val="21"/>
                <w:szCs w:val="21"/>
                <w:highlight w:val="none"/>
                <w:lang w:eastAsia="zh-CN"/>
              </w:rPr>
              <w:t>、</w:t>
            </w:r>
            <w:r>
              <w:rPr>
                <w:rFonts w:hint="eastAsia" w:ascii="宋体" w:hAnsi="宋体" w:cs="Arial"/>
                <w:sz w:val="21"/>
                <w:szCs w:val="21"/>
                <w:highlight w:val="none"/>
              </w:rPr>
              <w:t>8.2 产品和服务的要求</w:t>
            </w:r>
            <w:r>
              <w:rPr>
                <w:rFonts w:hint="eastAsia" w:ascii="宋体" w:hAnsi="宋体" w:cs="Arial"/>
                <w:sz w:val="21"/>
                <w:szCs w:val="21"/>
                <w:highlight w:val="none"/>
                <w:lang w:eastAsia="zh-CN"/>
              </w:rPr>
              <w:t>、</w:t>
            </w:r>
            <w:r>
              <w:rPr>
                <w:rFonts w:hint="eastAsia" w:ascii="宋体" w:hAnsi="宋体" w:cs="Arial"/>
                <w:sz w:val="21"/>
                <w:szCs w:val="21"/>
                <w:highlight w:val="none"/>
              </w:rPr>
              <w:t xml:space="preserve">8.4外部提供过程、9.1.1总则 </w:t>
            </w:r>
            <w:r>
              <w:rPr>
                <w:rFonts w:hint="eastAsia" w:ascii="宋体" w:hAnsi="宋体" w:cs="Arial"/>
                <w:sz w:val="21"/>
                <w:szCs w:val="21"/>
                <w:highlight w:val="none"/>
                <w:lang w:eastAsia="zh-CN"/>
              </w:rPr>
              <w:t>、</w:t>
            </w:r>
            <w:r>
              <w:rPr>
                <w:rFonts w:hint="eastAsia" w:ascii="宋体" w:hAnsi="宋体" w:cs="Arial"/>
                <w:sz w:val="21"/>
                <w:szCs w:val="21"/>
                <w:highlight w:val="none"/>
              </w:rPr>
              <w:t>9.1.2顾客满意</w:t>
            </w:r>
            <w:r>
              <w:rPr>
                <w:rFonts w:hint="eastAsia" w:ascii="宋体" w:hAnsi="宋体" w:cs="Arial"/>
                <w:sz w:val="21"/>
                <w:szCs w:val="21"/>
                <w:highlight w:val="none"/>
                <w:lang w:eastAsia="zh-CN"/>
              </w:rPr>
              <w:t>、</w:t>
            </w:r>
            <w:r>
              <w:rPr>
                <w:rFonts w:hint="eastAsia" w:ascii="宋体" w:hAnsi="宋体" w:cs="Arial"/>
                <w:sz w:val="21"/>
                <w:szCs w:val="21"/>
                <w:highlight w:val="none"/>
              </w:rPr>
              <w:t>9.1.3 分析与评价</w:t>
            </w:r>
            <w:r>
              <w:rPr>
                <w:rFonts w:hint="eastAsia" w:ascii="宋体" w:hAnsi="宋体" w:cs="Arial"/>
                <w:sz w:val="21"/>
                <w:szCs w:val="21"/>
                <w:highlight w:val="none"/>
                <w:lang w:eastAsia="zh-CN"/>
              </w:rPr>
              <w:t>、</w:t>
            </w:r>
            <w:r>
              <w:rPr>
                <w:rFonts w:hint="eastAsia" w:ascii="宋体" w:hAnsi="宋体" w:cs="Arial"/>
                <w:sz w:val="21"/>
                <w:szCs w:val="21"/>
                <w:highlight w:val="none"/>
              </w:rPr>
              <w:t>10改进</w:t>
            </w:r>
          </w:p>
          <w:p>
            <w:pPr>
              <w:adjustRightInd w:val="0"/>
              <w:snapToGrid w:val="0"/>
              <w:spacing w:line="320" w:lineRule="exact"/>
              <w:ind w:right="105" w:rightChars="50"/>
              <w:textAlignment w:val="baseline"/>
              <w:rPr>
                <w:rFonts w:hint="eastAsia" w:ascii="宋体" w:hAnsi="宋体" w:cs="Arial"/>
                <w:sz w:val="21"/>
                <w:szCs w:val="21"/>
                <w:highlight w:val="none"/>
                <w:lang w:val="en-US" w:eastAsia="zh-CN"/>
              </w:rPr>
            </w:pPr>
            <w:r>
              <w:rPr>
                <w:rFonts w:hint="eastAsia" w:ascii="宋体" w:hAnsi="宋体" w:cs="Arial"/>
                <w:sz w:val="21"/>
                <w:szCs w:val="21"/>
                <w:highlight w:val="none"/>
              </w:rPr>
              <w:t>E</w:t>
            </w:r>
            <w:r>
              <w:rPr>
                <w:rFonts w:hint="eastAsia" w:ascii="宋体" w:hAnsi="宋体" w:cs="Arial"/>
                <w:sz w:val="21"/>
                <w:szCs w:val="21"/>
                <w:highlight w:val="none"/>
                <w:lang w:val="en-US" w:eastAsia="zh-CN"/>
              </w:rPr>
              <w:t>O</w:t>
            </w:r>
            <w:r>
              <w:rPr>
                <w:rFonts w:hint="eastAsia" w:ascii="宋体" w:hAnsi="宋体" w:cs="Arial"/>
                <w:sz w:val="21"/>
                <w:szCs w:val="21"/>
                <w:highlight w:val="none"/>
              </w:rPr>
              <w:t>: 5.3组织的岗位、职责和权限、6.2环境目标、6.1.2环境因素辨识与评价</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6.1.4措施的策划</w:t>
            </w:r>
          </w:p>
          <w:p>
            <w:pPr>
              <w:pStyle w:val="2"/>
              <w:rPr>
                <w:rFonts w:hint="eastAsia"/>
                <w:highlight w:val="none"/>
              </w:rPr>
            </w:pP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专业条款审核有李波的专业支持）</w:t>
            </w:r>
          </w:p>
        </w:tc>
        <w:tc>
          <w:tcPr>
            <w:tcW w:w="732"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173"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岗位、职责、权限、责任</w:t>
            </w:r>
          </w:p>
          <w:p>
            <w:pPr>
              <w:rPr>
                <w:rFonts w:hint="eastAsia" w:asciiTheme="minorEastAsia" w:hAnsiTheme="minorEastAsia" w:eastAsiaTheme="minorEastAsia" w:cstheme="minorEastAsia"/>
                <w:sz w:val="21"/>
                <w:szCs w:val="21"/>
              </w:rPr>
            </w:pPr>
          </w:p>
        </w:tc>
        <w:tc>
          <w:tcPr>
            <w:tcW w:w="965"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QEO</w:t>
            </w:r>
            <w:r>
              <w:rPr>
                <w:rFonts w:hint="eastAsia" w:asciiTheme="minorEastAsia" w:hAnsiTheme="minorEastAsia" w:eastAsiaTheme="minorEastAsia" w:cstheme="minorEastAsia"/>
                <w:sz w:val="21"/>
                <w:szCs w:val="21"/>
              </w:rPr>
              <w:t>:5.3</w:t>
            </w:r>
          </w:p>
          <w:p>
            <w:pPr>
              <w:rPr>
                <w:rFonts w:hint="eastAsia" w:asciiTheme="minorEastAsia" w:hAnsiTheme="minorEastAsia" w:eastAsiaTheme="minorEastAsia" w:cstheme="minorEastAsia"/>
                <w:sz w:val="21"/>
                <w:szCs w:val="21"/>
              </w:rPr>
            </w:pPr>
          </w:p>
        </w:tc>
        <w:tc>
          <w:tcPr>
            <w:tcW w:w="10927"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xml:space="preserve">运营管理部   </w:t>
            </w:r>
            <w:r>
              <w:rPr>
                <w:rFonts w:hint="eastAsia" w:asciiTheme="minorEastAsia" w:hAnsiTheme="minorEastAsia" w:eastAsiaTheme="minorEastAsia" w:cstheme="minorEastAsia"/>
                <w:sz w:val="21"/>
                <w:szCs w:val="21"/>
              </w:rPr>
              <w:t>负责人：</w:t>
            </w:r>
            <w:r>
              <w:rPr>
                <w:rFonts w:hint="eastAsia" w:asciiTheme="minorEastAsia" w:hAnsiTheme="minorEastAsia" w:eastAsiaTheme="minorEastAsia" w:cstheme="minorEastAsia"/>
                <w:sz w:val="21"/>
                <w:szCs w:val="21"/>
                <w:lang w:eastAsia="zh-CN"/>
              </w:rPr>
              <w:t>金峰</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98"/>
            </w:r>
            <w:r>
              <w:rPr>
                <w:rFonts w:hint="eastAsia" w:asciiTheme="minorEastAsia" w:hAnsiTheme="minorEastAsia" w:eastAsiaTheme="minorEastAsia" w:cstheme="minorEastAsia"/>
                <w:sz w:val="21"/>
                <w:szCs w:val="21"/>
              </w:rPr>
              <w:t>查《管理手册》5.3条款规定了本部门的职责和权限</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sz w:val="21"/>
                <w:szCs w:val="21"/>
              </w:rPr>
              <w:t>主要负责：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--负责供水厂运营，市政道路及基础设施的维护保养日常工作；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--负责工作环境管理；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--负责项目计划编制和组织实施；负责特殊过程确认；负责产品标识管理；负责产品防护管理；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--负责物资的日常管理工作；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—负责本部门环境因素和危险源的识别和管理；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—负责产品、质量、环境和职业健康安全绩效的监测与评价；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—做好本部门的运行控制工作。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--负责业务接洽，组织投标，签订合同；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--负责招标文件和合同评审，组织编制投标文件；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--负责组织顾客满意度调查，收集和分析相关数据，必要时采用统计技术;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--负责与顾客的沟通，受理和处理顾客投诉;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--负责与顾客就管理体系方面的环境和职业健康安全信息进行交流；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—负责对工作流程的执行情况进行监督、检查；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—负责对不合格产品和服务的控制；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—负责监视和测量设备的有效控制；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—负责事件调查、不合格/不符合与纠正措施的归口管理；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—负责监控工作过程每个关健点，发现问题及时纠正；</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—做好本部门的环境因素识别、危险源辨识与控制工作</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173"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目标、指标及完成情况</w:t>
            </w:r>
          </w:p>
        </w:tc>
        <w:tc>
          <w:tcPr>
            <w:tcW w:w="965" w:type="dxa"/>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Q:6.2</w:t>
            </w:r>
          </w:p>
          <w:p>
            <w:pPr>
              <w:rPr>
                <w:rFonts w:hint="eastAsia" w:asciiTheme="minorEastAsia" w:hAnsiTheme="minorEastAsia" w:eastAsiaTheme="minorEastAsia" w:cstheme="minorEastAsia"/>
                <w:sz w:val="21"/>
                <w:szCs w:val="21"/>
              </w:rPr>
            </w:pPr>
          </w:p>
        </w:tc>
        <w:tc>
          <w:tcPr>
            <w:tcW w:w="10927" w:type="dxa"/>
            <w:vAlign w:val="top"/>
          </w:tcPr>
          <w:p>
            <w:pPr>
              <w:rPr>
                <w:rFonts w:hint="eastAsia" w:asciiTheme="minorEastAsia" w:hAnsiTheme="minorEastAsia" w:eastAsiaTheme="minorEastAsia" w:cstheme="minorEastAsia"/>
                <w:sz w:val="21"/>
                <w:szCs w:val="21"/>
              </w:rPr>
            </w:pPr>
            <w:r>
              <w:rPr>
                <w:rFonts w:hint="eastAsia"/>
                <w:color w:val="auto"/>
              </w:rPr>
              <w:sym w:font="Wingdings 2" w:char="F098"/>
            </w:r>
            <w:r>
              <w:rPr>
                <w:rFonts w:hint="eastAsia"/>
                <w:color w:val="auto"/>
              </w:rPr>
              <w:t>部</w:t>
            </w:r>
            <w:r>
              <w:rPr>
                <w:rFonts w:hint="eastAsia" w:asciiTheme="minorEastAsia" w:hAnsiTheme="minorEastAsia" w:eastAsiaTheme="minorEastAsia" w:cstheme="minorEastAsia"/>
                <w:sz w:val="21"/>
                <w:szCs w:val="21"/>
              </w:rPr>
              <w:t xml:space="preserve">门质量目标：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1）全年无重大人身伤亡、交通、火灾事故</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2）全年无重大设备事故</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3）合同履约率100%；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市政道路养护</w:t>
            </w:r>
            <w:r>
              <w:rPr>
                <w:rFonts w:hint="eastAsia" w:asciiTheme="minorEastAsia" w:hAnsiTheme="minorEastAsia" w:eastAsiaTheme="minorEastAsia" w:cstheme="minorEastAsia"/>
                <w:sz w:val="21"/>
                <w:szCs w:val="21"/>
              </w:rPr>
              <w:t>合格率100%</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供水站运行</w:t>
            </w:r>
            <w:r>
              <w:rPr>
                <w:rFonts w:hint="eastAsia" w:asciiTheme="minorEastAsia" w:hAnsiTheme="minorEastAsia" w:eastAsiaTheme="minorEastAsia" w:cstheme="minorEastAsia"/>
                <w:sz w:val="21"/>
                <w:szCs w:val="21"/>
              </w:rPr>
              <w:t>合格率100%;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5）火灾发生为0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6）重要环境因素及职业健康安全控制绩效：98%</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7）应急预案方案的准备和实施：100%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8）环保、安全所需资金准备及时率100%</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抽查</w:t>
            </w:r>
            <w:r>
              <w:rPr>
                <w:rFonts w:hint="eastAsia" w:asciiTheme="minorEastAsia" w:hAnsiTheme="minorEastAsia" w:eastAsiaTheme="minorEastAsia" w:cstheme="minorEastAsia"/>
                <w:sz w:val="21"/>
                <w:szCs w:val="21"/>
                <w:lang w:val="en-US" w:eastAsia="zh-CN"/>
              </w:rPr>
              <w:t>2020年2-3季度目标考核情况，已经达成目标。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统计人：薛宇航         审核：高翡            批准：严恪           日期：2020年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月1日</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center"/>
          </w:tcPr>
          <w:p>
            <w:pPr>
              <w:rPr>
                <w:rFonts w:hint="eastAsia" w:asciiTheme="minorEastAsia" w:hAnsiTheme="minorEastAsia" w:eastAsiaTheme="minorEastAsia" w:cstheme="minorEastAsia"/>
                <w:sz w:val="21"/>
                <w:szCs w:val="21"/>
                <w:highlight w:val="green"/>
              </w:rPr>
            </w:pPr>
            <w:r>
              <w:rPr>
                <w:rFonts w:hint="eastAsia" w:asciiTheme="minorEastAsia" w:hAnsiTheme="minorEastAsia" w:eastAsiaTheme="minorEastAsia" w:cstheme="minorEastAsia"/>
                <w:color w:val="auto"/>
                <w:sz w:val="21"/>
                <w:szCs w:val="21"/>
              </w:rPr>
              <w:t>顾客沟通</w:t>
            </w:r>
          </w:p>
        </w:tc>
        <w:tc>
          <w:tcPr>
            <w:tcW w:w="965"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sz w:val="21"/>
                <w:szCs w:val="21"/>
                <w:highlight w:val="green"/>
              </w:rPr>
            </w:pPr>
            <w:r>
              <w:rPr>
                <w:rFonts w:hint="eastAsia" w:asciiTheme="minorEastAsia" w:hAnsiTheme="minorEastAsia" w:eastAsiaTheme="minorEastAsia" w:cstheme="minorEastAsia"/>
                <w:color w:val="auto"/>
                <w:sz w:val="21"/>
                <w:szCs w:val="21"/>
              </w:rPr>
              <w:t>8.2.1</w:t>
            </w:r>
          </w:p>
        </w:tc>
        <w:tc>
          <w:tcPr>
            <w:tcW w:w="10927" w:type="dxa"/>
            <w:vAlign w:val="center"/>
          </w:tcPr>
          <w:p>
            <w:pPr>
              <w:rPr>
                <w:rFonts w:hint="eastAsia" w:asciiTheme="minorEastAsia" w:hAnsiTheme="minorEastAsia" w:eastAsiaTheme="minorEastAsia" w:cstheme="minorEastAsia"/>
                <w:sz w:val="21"/>
                <w:szCs w:val="21"/>
                <w:highlight w:val="green"/>
              </w:rPr>
            </w:pPr>
            <w:r>
              <w:rPr>
                <w:rFonts w:hint="eastAsia" w:asciiTheme="minorEastAsia" w:hAnsiTheme="minorEastAsia" w:eastAsiaTheme="minorEastAsia" w:cstheme="minorEastAsia"/>
                <w:color w:val="auto"/>
                <w:sz w:val="21"/>
                <w:szCs w:val="21"/>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 w:val="21"/>
                <w:szCs w:val="21"/>
              </w:rPr>
              <w:t>与产品和服务要求有关的要求确定</w:t>
            </w:r>
          </w:p>
        </w:tc>
        <w:tc>
          <w:tcPr>
            <w:tcW w:w="965" w:type="dxa"/>
            <w:vAlign w:val="center"/>
          </w:tcPr>
          <w:p>
            <w:pPr>
              <w:tabs>
                <w:tab w:val="left" w:pos="341"/>
              </w:tabs>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eastAsia="zh-CN"/>
              </w:rPr>
              <w:tab/>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rPr>
              <w:t>8.2.2</w:t>
            </w:r>
          </w:p>
        </w:tc>
        <w:tc>
          <w:tcPr>
            <w:tcW w:w="10927" w:type="dxa"/>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该公司主要</w:t>
            </w:r>
            <w:r>
              <w:rPr>
                <w:rFonts w:hint="eastAsia" w:asciiTheme="minorEastAsia" w:hAnsiTheme="minorEastAsia" w:eastAsiaTheme="minorEastAsia" w:cstheme="minorEastAsia"/>
                <w:color w:val="auto"/>
                <w:sz w:val="21"/>
                <w:szCs w:val="21"/>
                <w:lang w:eastAsia="zh-CN"/>
              </w:rPr>
              <w:t>涉及：</w:t>
            </w:r>
          </w:p>
          <w:p>
            <w:pPr>
              <w:rPr>
                <w:rFonts w:hint="eastAsia" w:asciiTheme="minorEastAsia" w:hAnsiTheme="minorEastAsia" w:eastAsiaTheme="minorEastAsia" w:cstheme="minorEastAsia"/>
                <w:color w:val="auto"/>
                <w:sz w:val="21"/>
                <w:szCs w:val="21"/>
              </w:rPr>
            </w:pPr>
            <w:bookmarkStart w:id="0" w:name="审核范围"/>
            <w:r>
              <w:rPr>
                <w:rFonts w:hint="eastAsia" w:asciiTheme="minorEastAsia" w:hAnsiTheme="minorEastAsia" w:eastAsiaTheme="minorEastAsia" w:cstheme="minorEastAsia"/>
                <w:color w:val="auto"/>
                <w:sz w:val="21"/>
                <w:szCs w:val="21"/>
              </w:rPr>
              <w:t>Q：供水站运行;市政道路及基础设施的维护保养</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E：供水站运行;市政道路及基础设施的维护保养</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O：供水站运行;市政道路及基础设施的维护保养</w:t>
            </w:r>
            <w:bookmarkEnd w:id="0"/>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该公司主要依据合同法、国家法律法规、</w:t>
            </w:r>
            <w:r>
              <w:rPr>
                <w:rFonts w:hint="eastAsia" w:asciiTheme="minorEastAsia" w:hAnsiTheme="minorEastAsia" w:eastAsiaTheme="minorEastAsia" w:cstheme="minorEastAsia"/>
                <w:color w:val="auto"/>
                <w:sz w:val="21"/>
                <w:szCs w:val="21"/>
                <w:lang w:eastAsia="zh-CN"/>
              </w:rPr>
              <w:t>环境保护法、环境质量标准等</w:t>
            </w:r>
            <w:r>
              <w:rPr>
                <w:rFonts w:hint="eastAsia" w:asciiTheme="minorEastAsia" w:hAnsiTheme="minorEastAsia" w:eastAsiaTheme="minorEastAsia" w:cstheme="minorEastAsia"/>
                <w:color w:val="auto"/>
                <w:sz w:val="21"/>
                <w:szCs w:val="21"/>
              </w:rPr>
              <w:t>要求进行服务，与产品有关的要求主要体现在与顾客所签定的合同/协议中。</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另外，该公司确定并收集了产品质量法、合同法、</w:t>
            </w:r>
            <w:r>
              <w:rPr>
                <w:rFonts w:hint="eastAsia" w:asciiTheme="minorEastAsia" w:hAnsiTheme="minorEastAsia" w:eastAsiaTheme="minorEastAsia" w:cstheme="minorEastAsia"/>
                <w:color w:val="auto"/>
                <w:sz w:val="21"/>
                <w:szCs w:val="21"/>
                <w:lang w:eastAsia="zh-CN"/>
              </w:rPr>
              <w:t>地方环保条例</w:t>
            </w:r>
            <w:r>
              <w:rPr>
                <w:rFonts w:hint="eastAsia" w:asciiTheme="minorEastAsia" w:hAnsiTheme="minorEastAsia" w:eastAsiaTheme="minorEastAsia" w:cstheme="minorEastAsia"/>
                <w:color w:val="auto"/>
                <w:sz w:val="21"/>
                <w:szCs w:val="21"/>
              </w:rPr>
              <w:t>等相关法律法规，将其中的相关要求作为与产品有关要求的补充。</w:t>
            </w:r>
          </w:p>
          <w:p>
            <w:pPr>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color w:val="auto"/>
                <w:sz w:val="21"/>
                <w:szCs w:val="21"/>
              </w:rPr>
              <w:t>该公司目前在服务提供过程中没有附加要求。</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3" w:type="dxa"/>
            <w:vAlign w:val="center"/>
          </w:tcPr>
          <w:p>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auto"/>
                <w:sz w:val="21"/>
                <w:szCs w:val="21"/>
                <w:highlight w:val="none"/>
              </w:rPr>
              <w:t>与产品和服务要求有关的要求评审</w:t>
            </w:r>
          </w:p>
        </w:tc>
        <w:tc>
          <w:tcPr>
            <w:tcW w:w="965"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Q</w:t>
            </w:r>
          </w:p>
          <w:p>
            <w:pP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8.2.3</w:t>
            </w:r>
          </w:p>
        </w:tc>
        <w:tc>
          <w:tcPr>
            <w:tcW w:w="10927" w:type="dxa"/>
            <w:vAlign w:val="center"/>
          </w:tcPr>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1）公司首先在合同中明确了顾客对技术服务的质量要求及技术标准、价格、交货方式、验收方式、货款结算方式等明示要求。</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2）确定了技术服务的法律法规要求（技术服务标准等要求）、售后服务等。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3）该公司与产品有关要求主要在合同中体现，在合同签订之前，由总经理组织各相关部门以会议或会签的方式进行评审。</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抽查销售合同情况</w:t>
            </w:r>
            <w:r>
              <w:rPr>
                <w:rFonts w:hint="eastAsia" w:asciiTheme="minorEastAsia" w:hAnsiTheme="minorEastAsia" w:eastAsiaTheme="minorEastAsia" w:cstheme="minorEastAsia"/>
                <w:color w:val="auto"/>
                <w:sz w:val="21"/>
                <w:szCs w:val="21"/>
                <w:highlight w:val="none"/>
                <w:lang w:val="en-US" w:eastAsia="zh-CN"/>
              </w:rPr>
              <w:t>,该企业的主要客户为</w:t>
            </w:r>
            <w:r>
              <w:rPr>
                <w:rFonts w:hint="eastAsia" w:ascii="Times New Roman" w:hAnsi="Times New Roman" w:cs="Times New Roman"/>
                <w:color w:val="auto"/>
                <w:szCs w:val="22"/>
                <w:highlight w:val="none"/>
                <w:lang w:val="en-US" w:eastAsia="zh-CN"/>
              </w:rPr>
              <w:t>西咸新区丝路经济带能源金融贸易区管理办公室</w:t>
            </w:r>
            <w:r>
              <w:rPr>
                <w:rFonts w:hint="eastAsia" w:cs="Times New Roman"/>
                <w:color w:val="auto"/>
                <w:szCs w:val="22"/>
                <w:highlight w:val="none"/>
                <w:lang w:val="en-US" w:eastAsia="zh-CN"/>
              </w:rPr>
              <w:t>下设的</w:t>
            </w:r>
            <w:r>
              <w:rPr>
                <w:rFonts w:hint="eastAsia" w:ascii="Times New Roman" w:hAnsi="Times New Roman" w:cs="Times New Roman"/>
                <w:color w:val="auto"/>
                <w:szCs w:val="22"/>
                <w:highlight w:val="none"/>
                <w:lang w:val="en-US" w:eastAsia="zh-CN"/>
              </w:rPr>
              <w:t>城市管理部</w:t>
            </w:r>
            <w:r>
              <w:rPr>
                <w:rFonts w:hint="eastAsia" w:cs="Times New Roman"/>
                <w:color w:val="auto"/>
                <w:szCs w:val="22"/>
                <w:highlight w:val="none"/>
                <w:lang w:val="en-US" w:eastAsia="zh-CN"/>
              </w:rPr>
              <w:t>和</w:t>
            </w:r>
            <w:r>
              <w:rPr>
                <w:rFonts w:hint="eastAsia" w:ascii="Times New Roman" w:hAnsi="Times New Roman" w:cs="Times New Roman"/>
                <w:color w:val="auto"/>
                <w:szCs w:val="22"/>
                <w:highlight w:val="none"/>
                <w:lang w:val="en-US" w:eastAsia="zh-CN"/>
              </w:rPr>
              <w:t>建设及规划环保部</w:t>
            </w:r>
            <w:r>
              <w:rPr>
                <w:rFonts w:hint="eastAsia" w:cs="Times New Roman"/>
                <w:color w:val="auto"/>
                <w:szCs w:val="22"/>
                <w:highlight w:val="none"/>
                <w:lang w:val="en-US" w:eastAsia="zh-CN"/>
              </w:rPr>
              <w:t>。</w:t>
            </w:r>
          </w:p>
          <w:p>
            <w:pPr>
              <w:pStyle w:val="2"/>
              <w:tabs>
                <w:tab w:val="left" w:pos="6509"/>
              </w:tabs>
              <w:rPr>
                <w:rFonts w:hint="eastAsia"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项目名称：道路养护、供水站运营</w:t>
            </w:r>
            <w:r>
              <w:rPr>
                <w:rFonts w:hint="eastAsia" w:cs="Times New Roman"/>
                <w:color w:val="auto"/>
                <w:szCs w:val="22"/>
                <w:highlight w:val="none"/>
                <w:lang w:val="en-US" w:eastAsia="zh-CN"/>
              </w:rPr>
              <w:t>，</w:t>
            </w:r>
          </w:p>
          <w:p>
            <w:pPr>
              <w:pStyle w:val="2"/>
              <w:tabs>
                <w:tab w:val="left" w:pos="6509"/>
              </w:tabs>
              <w:rPr>
                <w:rFonts w:hint="eastAsia"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客户：西咸新区丝路经济带能源金融贸易区管理办公室（城市管理部/建设及规划环保部）</w:t>
            </w:r>
          </w:p>
          <w:p>
            <w:pPr>
              <w:pStyle w:val="2"/>
              <w:tabs>
                <w:tab w:val="left" w:pos="6509"/>
              </w:tabs>
              <w:rPr>
                <w:rFonts w:hint="eastAsia"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参加</w:t>
            </w:r>
            <w:r>
              <w:rPr>
                <w:rFonts w:hint="default" w:ascii="Times New Roman" w:hAnsi="Times New Roman" w:cs="Times New Roman"/>
                <w:color w:val="auto"/>
                <w:szCs w:val="22"/>
                <w:highlight w:val="none"/>
                <w:lang w:val="en-US" w:eastAsia="zh-CN"/>
              </w:rPr>
              <w:t>评审</w:t>
            </w:r>
            <w:r>
              <w:rPr>
                <w:rFonts w:hint="eastAsia" w:ascii="Times New Roman" w:hAnsi="Times New Roman" w:cs="Times New Roman"/>
                <w:color w:val="auto"/>
                <w:szCs w:val="22"/>
                <w:highlight w:val="none"/>
                <w:lang w:val="en-US" w:eastAsia="zh-CN"/>
              </w:rPr>
              <w:t>人员：</w:t>
            </w:r>
            <w:r>
              <w:rPr>
                <w:rFonts w:hint="eastAsia" w:ascii="Times New Roman" w:hAnsi="Times New Roman" w:cs="Times New Roman"/>
                <w:color w:val="auto"/>
                <w:szCs w:val="22"/>
                <w:highlight w:val="none"/>
                <w:lang w:val="en-US" w:eastAsia="zh-CN"/>
              </w:rPr>
              <w:tab/>
            </w:r>
          </w:p>
          <w:p>
            <w:pPr>
              <w:pStyle w:val="2"/>
              <w:tabs>
                <w:tab w:val="left" w:pos="6509"/>
              </w:tabs>
              <w:rPr>
                <w:rFonts w:hint="eastAsia"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总经理：严恪</w:t>
            </w:r>
          </w:p>
          <w:p>
            <w:pPr>
              <w:pStyle w:val="2"/>
              <w:tabs>
                <w:tab w:val="left" w:pos="6509"/>
              </w:tabs>
              <w:rPr>
                <w:rFonts w:hint="eastAsia"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副总/管理者代表：高翡</w:t>
            </w:r>
          </w:p>
          <w:p>
            <w:pPr>
              <w:pStyle w:val="2"/>
              <w:tabs>
                <w:tab w:val="left" w:pos="6509"/>
              </w:tabs>
              <w:rPr>
                <w:rFonts w:hint="eastAsia"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综合部：薛宇航</w:t>
            </w:r>
          </w:p>
          <w:p>
            <w:pPr>
              <w:pStyle w:val="2"/>
              <w:tabs>
                <w:tab w:val="left" w:pos="6509"/>
              </w:tabs>
              <w:rPr>
                <w:rFonts w:hint="eastAsia"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财务部：王子怡</w:t>
            </w:r>
          </w:p>
          <w:p>
            <w:pPr>
              <w:pStyle w:val="2"/>
              <w:tabs>
                <w:tab w:val="left" w:pos="6509"/>
              </w:tabs>
              <w:rPr>
                <w:rFonts w:hint="eastAsia" w:ascii="Times New Roman" w:hAnsi="Times New Roman" w:cs="Times New Roman"/>
                <w:color w:val="auto"/>
                <w:szCs w:val="22"/>
                <w:highlight w:val="none"/>
                <w:lang w:val="en-US" w:eastAsia="zh-CN"/>
              </w:rPr>
            </w:pPr>
            <w:r>
              <w:rPr>
                <w:rFonts w:hint="eastAsia" w:ascii="Times New Roman" w:hAnsi="Times New Roman" w:cs="Times New Roman"/>
                <w:color w:val="auto"/>
                <w:szCs w:val="22"/>
                <w:highlight w:val="none"/>
                <w:lang w:val="en-US" w:eastAsia="zh-CN"/>
              </w:rPr>
              <w:t>运营管理部（工程部）：金峰</w:t>
            </w:r>
          </w:p>
          <w:p>
            <w:pPr>
              <w:pStyle w:val="2"/>
              <w:tabs>
                <w:tab w:val="left" w:pos="6509"/>
              </w:tabs>
              <w:rPr>
                <w:rFonts w:hint="default" w:ascii="Times New Roman" w:hAnsi="Times New Roman" w:cs="Times New Roman"/>
                <w:color w:val="auto"/>
                <w:szCs w:val="22"/>
                <w:highlight w:val="none"/>
                <w:lang w:val="en-US" w:eastAsia="zh-CN"/>
              </w:rPr>
            </w:pPr>
            <w:r>
              <w:rPr>
                <w:rFonts w:hint="default" w:ascii="Times New Roman" w:hAnsi="Times New Roman" w:cs="Times New Roman"/>
                <w:color w:val="auto"/>
                <w:szCs w:val="22"/>
                <w:highlight w:val="none"/>
                <w:lang w:val="en-US" w:eastAsia="zh-CN"/>
              </w:rPr>
              <w:t>评审内容</w:t>
            </w:r>
            <w:r>
              <w:rPr>
                <w:rFonts w:hint="eastAsia" w:ascii="Times New Roman" w:hAnsi="Times New Roman" w:cs="Times New Roman"/>
                <w:color w:val="auto"/>
                <w:szCs w:val="22"/>
                <w:highlight w:val="none"/>
                <w:lang w:val="en-US" w:eastAsia="zh-CN"/>
              </w:rPr>
              <w:t>：</w:t>
            </w:r>
          </w:p>
          <w:p>
            <w:pPr>
              <w:pStyle w:val="2"/>
              <w:tabs>
                <w:tab w:val="left" w:pos="6509"/>
              </w:tabs>
              <w:rPr>
                <w:rFonts w:hint="default"/>
                <w:color w:val="auto"/>
                <w:highlight w:val="none"/>
                <w:lang w:val="en-US" w:eastAsia="zh-CN"/>
              </w:rPr>
            </w:pPr>
            <w:r>
              <w:rPr>
                <w:rFonts w:hint="default" w:ascii="Times New Roman" w:hAnsi="Times New Roman" w:cs="Times New Roman"/>
                <w:color w:val="auto"/>
                <w:szCs w:val="22"/>
                <w:highlight w:val="none"/>
                <w:lang w:val="en-US" w:eastAsia="zh-CN"/>
              </w:rPr>
              <w:t>1．合同中的各项条款是否符</w:t>
            </w:r>
            <w:r>
              <w:rPr>
                <w:rFonts w:hint="default"/>
                <w:color w:val="auto"/>
                <w:highlight w:val="none"/>
                <w:lang w:val="en-US" w:eastAsia="zh-CN"/>
              </w:rPr>
              <w:t>合法律法规的要求；</w:t>
            </w:r>
          </w:p>
          <w:p>
            <w:pPr>
              <w:pStyle w:val="2"/>
              <w:tabs>
                <w:tab w:val="left" w:pos="6509"/>
              </w:tabs>
              <w:rPr>
                <w:rFonts w:hint="default"/>
                <w:color w:val="auto"/>
                <w:highlight w:val="none"/>
                <w:lang w:val="en-US" w:eastAsia="zh-CN"/>
              </w:rPr>
            </w:pPr>
            <w:r>
              <w:rPr>
                <w:rFonts w:hint="default"/>
                <w:color w:val="auto"/>
                <w:highlight w:val="none"/>
                <w:lang w:val="en-US" w:eastAsia="zh-CN"/>
              </w:rPr>
              <w:t>2．根据合同相关要求，公司车辆是否能满足要求；</w:t>
            </w:r>
          </w:p>
          <w:p>
            <w:pPr>
              <w:pStyle w:val="2"/>
              <w:tabs>
                <w:tab w:val="left" w:pos="6509"/>
              </w:tabs>
              <w:rPr>
                <w:rFonts w:hint="default"/>
                <w:color w:val="auto"/>
                <w:highlight w:val="none"/>
                <w:lang w:val="en-US" w:eastAsia="zh-CN"/>
              </w:rPr>
            </w:pPr>
            <w:r>
              <w:rPr>
                <w:rFonts w:hint="default"/>
                <w:color w:val="auto"/>
                <w:highlight w:val="none"/>
                <w:lang w:val="en-US" w:eastAsia="zh-CN"/>
              </w:rPr>
              <w:t>3．公司市政道路维护、供水站运营期限是否能满足客户要求；</w:t>
            </w:r>
          </w:p>
          <w:p>
            <w:pPr>
              <w:pStyle w:val="2"/>
              <w:tabs>
                <w:tab w:val="left" w:pos="6509"/>
              </w:tabs>
              <w:rPr>
                <w:rFonts w:hint="default"/>
                <w:color w:val="auto"/>
                <w:highlight w:val="none"/>
                <w:lang w:val="en-US" w:eastAsia="zh-CN"/>
              </w:rPr>
            </w:pPr>
            <w:r>
              <w:rPr>
                <w:rFonts w:hint="default"/>
                <w:color w:val="auto"/>
                <w:highlight w:val="none"/>
                <w:lang w:val="en-US" w:eastAsia="zh-CN"/>
              </w:rPr>
              <w:t>4．合同中所规定的报价是否符合公司要求，预算是否合理；</w:t>
            </w:r>
          </w:p>
          <w:p>
            <w:pPr>
              <w:pStyle w:val="2"/>
              <w:tabs>
                <w:tab w:val="left" w:pos="6509"/>
              </w:tabs>
              <w:rPr>
                <w:rFonts w:hint="default"/>
                <w:color w:val="auto"/>
                <w:highlight w:val="none"/>
                <w:lang w:val="en-US" w:eastAsia="zh-CN"/>
              </w:rPr>
            </w:pPr>
            <w:r>
              <w:rPr>
                <w:rFonts w:hint="default"/>
                <w:color w:val="auto"/>
                <w:highlight w:val="none"/>
                <w:lang w:val="en-US" w:eastAsia="zh-CN"/>
              </w:rPr>
              <w:t>5．合同中所规定的付款方式和产品质量要求本公司能否满足；</w:t>
            </w:r>
          </w:p>
          <w:p>
            <w:pPr>
              <w:spacing w:line="360" w:lineRule="exac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合同签订时间：20</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27</w:t>
            </w:r>
            <w:r>
              <w:rPr>
                <w:rFonts w:hint="eastAsia" w:asciiTheme="minorEastAsia" w:hAnsiTheme="minorEastAsia" w:eastAsiaTheme="minorEastAsia" w:cstheme="minorEastAsia"/>
                <w:color w:val="auto"/>
                <w:sz w:val="21"/>
                <w:szCs w:val="21"/>
                <w:highlight w:val="none"/>
              </w:rPr>
              <w:t>日。合同评审时间：20</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日</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以上合同均规定了技术服务内容、双方的权利义务、服务交付</w:t>
            </w:r>
            <w:r>
              <w:rPr>
                <w:rFonts w:hint="eastAsia" w:asciiTheme="minorEastAsia" w:hAnsiTheme="minorEastAsia" w:eastAsiaTheme="minorEastAsia" w:cstheme="minorEastAsia"/>
                <w:color w:val="auto"/>
                <w:kern w:val="0"/>
                <w:sz w:val="21"/>
                <w:szCs w:val="21"/>
                <w:highlight w:val="none"/>
              </w:rPr>
              <w:t>方式等内容</w:t>
            </w:r>
            <w:r>
              <w:rPr>
                <w:rFonts w:hint="eastAsia" w:asciiTheme="minorEastAsia" w:hAnsiTheme="minorEastAsia" w:eastAsiaTheme="minorEastAsia" w:cstheme="minorEastAsia"/>
                <w:color w:val="auto"/>
                <w:sz w:val="21"/>
                <w:szCs w:val="21"/>
                <w:highlight w:val="none"/>
              </w:rPr>
              <w:t>、交付期等内容</w:t>
            </w:r>
            <w:r>
              <w:rPr>
                <w:rFonts w:hint="eastAsia" w:asciiTheme="minorEastAsia" w:hAnsiTheme="minorEastAsia" w:eastAsiaTheme="minorEastAsia" w:cstheme="minorEastAsia"/>
                <w:color w:val="auto"/>
                <w:kern w:val="0"/>
                <w:sz w:val="21"/>
                <w:szCs w:val="21"/>
                <w:highlight w:val="none"/>
              </w:rPr>
              <w:t>，</w:t>
            </w:r>
          </w:p>
          <w:p>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顾客要求明确 。</w:t>
            </w:r>
            <w:r>
              <w:rPr>
                <w:rFonts w:hint="eastAsia" w:asciiTheme="minorEastAsia" w:hAnsiTheme="minorEastAsia" w:eastAsiaTheme="minorEastAsia" w:cstheme="minorEastAsia"/>
                <w:color w:val="auto"/>
                <w:kern w:val="0"/>
                <w:sz w:val="21"/>
                <w:szCs w:val="21"/>
                <w:highlight w:val="none"/>
              </w:rPr>
              <w:t>均有双方法人签字和加盖的公章</w:t>
            </w:r>
          </w:p>
          <w:p>
            <w:pPr>
              <w:ind w:firstLine="420" w:firstLineChars="200"/>
              <w:rPr>
                <w:rFonts w:hint="eastAsia" w:asciiTheme="minorEastAsia" w:hAnsiTheme="minorEastAsia" w:eastAsiaTheme="minorEastAsia" w:cstheme="minorEastAsia"/>
                <w:bCs w:val="0"/>
                <w:spacing w:val="0"/>
                <w:kern w:val="2"/>
                <w:sz w:val="21"/>
                <w:szCs w:val="21"/>
                <w:highlight w:val="green"/>
                <w:lang w:val="en-US" w:eastAsia="zh-CN" w:bidi="ar-SA"/>
              </w:rPr>
            </w:pPr>
            <w:r>
              <w:rPr>
                <w:rFonts w:hint="eastAsia" w:asciiTheme="minorEastAsia" w:hAnsiTheme="minorEastAsia" w:eastAsiaTheme="minorEastAsia" w:cstheme="minorEastAsia"/>
                <w:color w:val="auto"/>
                <w:sz w:val="21"/>
                <w:szCs w:val="21"/>
                <w:highlight w:val="none"/>
              </w:rPr>
              <w:t>见以上《合同评审</w:t>
            </w:r>
            <w:r>
              <w:rPr>
                <w:rFonts w:hint="eastAsia" w:asciiTheme="minorEastAsia" w:hAnsiTheme="minorEastAsia" w:eastAsiaTheme="minorEastAsia" w:cstheme="minorEastAsia"/>
                <w:color w:val="auto"/>
                <w:sz w:val="21"/>
                <w:szCs w:val="21"/>
                <w:highlight w:val="none"/>
                <w:lang w:val="en-US" w:eastAsia="zh-CN"/>
              </w:rPr>
              <w:t>登记</w:t>
            </w:r>
            <w:r>
              <w:rPr>
                <w:rFonts w:hint="eastAsia" w:asciiTheme="minorEastAsia" w:hAnsiTheme="minorEastAsia" w:eastAsiaTheme="minorEastAsia" w:cstheme="minorEastAsia"/>
                <w:color w:val="auto"/>
                <w:sz w:val="21"/>
                <w:szCs w:val="21"/>
                <w:highlight w:val="none"/>
              </w:rPr>
              <w:t>表》，评审内容包括  对服务交付方式、交付能力、质量要求等进行了评审，认为可以满足。有总经理签字。同意签订合同。</w:t>
            </w:r>
          </w:p>
        </w:tc>
        <w:tc>
          <w:tcPr>
            <w:tcW w:w="732"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73"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产品和服务要求的变更</w:t>
            </w:r>
          </w:p>
        </w:tc>
        <w:tc>
          <w:tcPr>
            <w:tcW w:w="965"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8.2.4</w:t>
            </w:r>
          </w:p>
        </w:tc>
        <w:tc>
          <w:tcPr>
            <w:tcW w:w="10927"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经询问，未发生合同变更及顾客要求发生变更造成与先前合同或订单要求表述存在差异的情况。</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顾客满意度</w:t>
            </w:r>
          </w:p>
        </w:tc>
        <w:tc>
          <w:tcPr>
            <w:tcW w:w="965"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9.1.2</w:t>
            </w:r>
          </w:p>
        </w:tc>
        <w:tc>
          <w:tcPr>
            <w:tcW w:w="10927" w:type="dxa"/>
            <w:vAlign w:val="center"/>
          </w:tcPr>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公司通过电话，走访等形式，接受顾客反馈，了解顾客顾客满意度信息，发放调查表对顾客满意度进行定量测量。</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提供“顾客满意程度调查表”，调查主要内容：</w:t>
            </w:r>
            <w:r>
              <w:rPr>
                <w:rFonts w:hint="eastAsia" w:asciiTheme="minorEastAsia" w:hAnsiTheme="minorEastAsia" w:eastAsiaTheme="minorEastAsia" w:cstheme="minorEastAsia"/>
                <w:color w:val="auto"/>
                <w:sz w:val="21"/>
                <w:szCs w:val="21"/>
              </w:rPr>
              <w:t>质量、价格、外观、服务等方面的满意程度</w:t>
            </w:r>
            <w:r>
              <w:rPr>
                <w:rFonts w:hint="eastAsia" w:asciiTheme="minorEastAsia" w:hAnsiTheme="minorEastAsia" w:eastAsiaTheme="minorEastAsia" w:cstheme="minorEastAsia"/>
                <w:color w:val="auto"/>
                <w:sz w:val="21"/>
                <w:szCs w:val="21"/>
                <w:lang w:val="zh-CN"/>
              </w:rPr>
              <w:t>等，</w:t>
            </w:r>
            <w:r>
              <w:rPr>
                <w:rFonts w:hint="eastAsia" w:asciiTheme="minorEastAsia" w:hAnsiTheme="minorEastAsia" w:eastAsiaTheme="minorEastAsia" w:cstheme="minorEastAsia"/>
                <w:color w:val="auto"/>
                <w:sz w:val="21"/>
                <w:szCs w:val="21"/>
              </w:rPr>
              <w:t>各项得分求平均值得最终结果</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rPr>
              <w:t>提供顾客满意调查分析。最终顾客满意率100%。该结果已提交管理评审。</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3" w:type="dxa"/>
            <w:vAlign w:val="top"/>
          </w:tcPr>
          <w:p>
            <w:pPr>
              <w:spacing w:line="360" w:lineRule="auto"/>
              <w:jc w:val="both"/>
              <w:rPr>
                <w:rFonts w:hint="eastAsia"/>
                <w:highlight w:val="none"/>
              </w:rPr>
            </w:pPr>
            <w:r>
              <w:rPr>
                <w:rFonts w:hint="eastAsia"/>
                <w:highlight w:val="none"/>
              </w:rPr>
              <w:t>外部提供过程、产品和服务的控制</w:t>
            </w: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pStyle w:val="2"/>
              <w:jc w:val="both"/>
              <w:rPr>
                <w:rFonts w:hint="eastAsia" w:ascii="宋体" w:hAnsi="宋体" w:eastAsia="宋体" w:cs="宋体"/>
                <w:color w:val="000000" w:themeColor="text1"/>
                <w:sz w:val="21"/>
                <w:szCs w:val="21"/>
                <w:highlight w:val="none"/>
              </w:rPr>
            </w:pPr>
          </w:p>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分包管理</w:t>
            </w:r>
          </w:p>
          <w:p>
            <w:pPr>
              <w:pStyle w:val="2"/>
              <w:jc w:val="both"/>
              <w:rPr>
                <w:rFonts w:hint="eastAsia" w:asciiTheme="minorEastAsia" w:hAnsiTheme="minorEastAsia" w:eastAsiaTheme="minorEastAsia" w:cstheme="minorEastAsia"/>
                <w:sz w:val="21"/>
                <w:szCs w:val="21"/>
                <w:highlight w:val="none"/>
              </w:rPr>
            </w:pPr>
          </w:p>
        </w:tc>
        <w:tc>
          <w:tcPr>
            <w:tcW w:w="965" w:type="dxa"/>
            <w:vAlign w:val="top"/>
          </w:tcPr>
          <w:p>
            <w:pPr>
              <w:spacing w:line="360" w:lineRule="auto"/>
              <w:jc w:val="both"/>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Q8.4</w:t>
            </w:r>
          </w:p>
          <w:p>
            <w:pPr>
              <w:pStyle w:val="2"/>
              <w:rPr>
                <w:rFonts w:hint="default"/>
                <w:lang w:val="en-US" w:eastAsia="zh-CN"/>
              </w:rPr>
            </w:pPr>
            <w:r>
              <w:rPr>
                <w:rFonts w:hint="eastAsia" w:ascii="宋体" w:hAnsi="宋体" w:cs="宋体"/>
                <w:color w:val="000000" w:themeColor="text1"/>
                <w:sz w:val="21"/>
                <w:szCs w:val="21"/>
                <w:highlight w:val="none"/>
                <w:lang w:val="en-US" w:eastAsia="zh-CN"/>
              </w:rPr>
              <w:t>O8.1.4</w:t>
            </w:r>
          </w:p>
          <w:p>
            <w:pPr>
              <w:pStyle w:val="2"/>
              <w:rPr>
                <w:rFonts w:hint="eastAsia"/>
                <w:highlight w:val="none"/>
                <w:lang w:val="en-US" w:eastAsia="zh-CN"/>
              </w:rPr>
            </w:pPr>
          </w:p>
          <w:p>
            <w:pPr>
              <w:spacing w:line="360" w:lineRule="auto"/>
              <w:ind w:firstLine="308" w:firstLineChars="147"/>
              <w:jc w:val="both"/>
              <w:rPr>
                <w:rFonts w:hint="eastAsia" w:asciiTheme="minorEastAsia" w:hAnsiTheme="minorEastAsia" w:eastAsiaTheme="minorEastAsia" w:cstheme="minorEastAsia"/>
                <w:sz w:val="21"/>
                <w:szCs w:val="21"/>
                <w:highlight w:val="none"/>
              </w:rPr>
            </w:pPr>
          </w:p>
        </w:tc>
        <w:tc>
          <w:tcPr>
            <w:tcW w:w="10927" w:type="dxa"/>
            <w:vAlign w:val="center"/>
          </w:tcPr>
          <w:p>
            <w:pPr>
              <w:pStyle w:val="2"/>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color w:val="auto"/>
                <w:szCs w:val="21"/>
                <w:highlight w:val="none"/>
              </w:rPr>
              <w:sym w:font="Wingdings 2" w:char="F098"/>
            </w:r>
            <w:r>
              <w:rPr>
                <w:rFonts w:hint="eastAsia"/>
                <w:color w:val="auto"/>
                <w:szCs w:val="21"/>
                <w:highlight w:val="none"/>
              </w:rPr>
              <w:t>编制了《</w:t>
            </w:r>
            <w:r>
              <w:rPr>
                <w:rFonts w:hint="eastAsia"/>
                <w:color w:val="auto"/>
                <w:highlight w:val="none"/>
              </w:rPr>
              <w:t>外部提供过程控制程序</w:t>
            </w:r>
            <w:r>
              <w:rPr>
                <w:rFonts w:hint="eastAsia"/>
                <w:color w:val="auto"/>
                <w:szCs w:val="21"/>
                <w:highlight w:val="none"/>
              </w:rPr>
              <w:t>》，明确了根据</w:t>
            </w:r>
            <w:r>
              <w:rPr>
                <w:rFonts w:hint="eastAsia"/>
                <w:color w:val="auto"/>
                <w:szCs w:val="21"/>
                <w:highlight w:val="none"/>
                <w:lang w:val="en-US" w:eastAsia="zh-CN"/>
              </w:rPr>
              <w:t>派交</w:t>
            </w:r>
            <w:r>
              <w:rPr>
                <w:rFonts w:hint="eastAsia"/>
                <w:color w:val="auto"/>
                <w:szCs w:val="21"/>
                <w:highlight w:val="none"/>
              </w:rPr>
              <w:t>单，编制</w:t>
            </w:r>
            <w:r>
              <w:rPr>
                <w:rFonts w:hint="eastAsia"/>
                <w:color w:val="auto"/>
                <w:szCs w:val="21"/>
                <w:highlight w:val="none"/>
                <w:lang w:val="en-US" w:eastAsia="zh-CN"/>
              </w:rPr>
              <w:t>采购单</w:t>
            </w:r>
            <w:r>
              <w:rPr>
                <w:rFonts w:hint="eastAsia"/>
                <w:color w:val="auto"/>
                <w:szCs w:val="21"/>
                <w:highlight w:val="none"/>
              </w:rPr>
              <w:t>。对</w:t>
            </w:r>
            <w:r>
              <w:rPr>
                <w:rFonts w:hint="eastAsia"/>
                <w:color w:val="auto"/>
                <w:szCs w:val="21"/>
                <w:highlight w:val="none"/>
                <w:lang w:val="en-US" w:eastAsia="zh-CN"/>
              </w:rPr>
              <w:t>供方</w:t>
            </w:r>
            <w:r>
              <w:rPr>
                <w:rFonts w:hint="eastAsia"/>
                <w:color w:val="auto"/>
                <w:szCs w:val="21"/>
                <w:highlight w:val="none"/>
              </w:rPr>
              <w:t>进行定期评价，内容包括：</w:t>
            </w:r>
            <w:r>
              <w:rPr>
                <w:rFonts w:hint="eastAsia"/>
                <w:color w:val="auto"/>
                <w:szCs w:val="21"/>
                <w:highlight w:val="none"/>
                <w:lang w:val="en-US" w:eastAsia="zh-CN"/>
              </w:rPr>
              <w:t>供方规模、市场信誉、供货能力；供方的供货期、付款方式；供方质量保证能力</w:t>
            </w:r>
            <w:r>
              <w:rPr>
                <w:rFonts w:hint="eastAsia"/>
                <w:color w:val="auto"/>
                <w:szCs w:val="21"/>
                <w:highlight w:val="none"/>
              </w:rPr>
              <w:t>等内容。经由总经理确认后，纳入公司合格供方。</w:t>
            </w:r>
          </w:p>
          <w:p>
            <w:pPr>
              <w:pStyle w:val="2"/>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提供供应商评审表：包括供应商名称、种类、物料来源（制造商）、企业负责人、业务联系方式、评鉴方式、评鉴意见（相关部门）等内容。</w:t>
            </w:r>
          </w:p>
          <w:p>
            <w:pPr>
              <w:pStyle w:val="2"/>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提供的供货商包括：北京华龙星宇科技发展有限公司</w:t>
            </w:r>
            <w:r>
              <w:rPr>
                <w:rFonts w:hint="eastAsia" w:asciiTheme="minorEastAsia" w:hAnsiTheme="minorEastAsia" w:eastAsiaTheme="minorEastAsia" w:cstheme="minorEastAsia"/>
                <w:bCs w:val="0"/>
                <w:spacing w:val="0"/>
                <w:kern w:val="2"/>
                <w:sz w:val="21"/>
                <w:szCs w:val="21"/>
                <w:highlight w:val="none"/>
                <w:lang w:val="en-US" w:eastAsia="zh-CN" w:bidi="ar-SA"/>
              </w:rPr>
              <w:tab/>
            </w:r>
            <w:r>
              <w:rPr>
                <w:rFonts w:hint="eastAsia" w:asciiTheme="minorEastAsia" w:hAnsiTheme="minorEastAsia" w:eastAsiaTheme="minorEastAsia" w:cstheme="minorEastAsia"/>
                <w:bCs w:val="0"/>
                <w:spacing w:val="0"/>
                <w:kern w:val="2"/>
                <w:sz w:val="21"/>
                <w:szCs w:val="21"/>
                <w:highlight w:val="none"/>
                <w:lang w:val="en-US" w:eastAsia="zh-CN" w:bidi="ar-SA"/>
              </w:rPr>
              <w:t>二氧化氯</w:t>
            </w:r>
          </w:p>
          <w:p>
            <w:pPr>
              <w:pStyle w:val="2"/>
              <w:ind w:firstLine="1890" w:firstLineChars="900"/>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联塑市政管道邢台有限公司</w:t>
            </w:r>
            <w:r>
              <w:rPr>
                <w:rFonts w:hint="eastAsia" w:asciiTheme="minorEastAsia" w:hAnsiTheme="minorEastAsia" w:eastAsiaTheme="minorEastAsia" w:cstheme="minorEastAsia"/>
                <w:bCs w:val="0"/>
                <w:spacing w:val="0"/>
                <w:kern w:val="2"/>
                <w:sz w:val="21"/>
                <w:szCs w:val="21"/>
                <w:highlight w:val="none"/>
                <w:lang w:val="en-US" w:eastAsia="zh-CN" w:bidi="ar-SA"/>
              </w:rPr>
              <w:tab/>
            </w:r>
            <w:r>
              <w:rPr>
                <w:rFonts w:hint="eastAsia" w:asciiTheme="minorEastAsia" w:hAnsiTheme="minorEastAsia" w:eastAsiaTheme="minorEastAsia" w:cstheme="minorEastAsia"/>
                <w:bCs w:val="0"/>
                <w:spacing w:val="0"/>
                <w:kern w:val="2"/>
                <w:sz w:val="21"/>
                <w:szCs w:val="21"/>
                <w:highlight w:val="none"/>
                <w:lang w:val="en-US" w:eastAsia="zh-CN" w:bidi="ar-SA"/>
              </w:rPr>
              <w:t>供水管材</w:t>
            </w:r>
          </w:p>
          <w:p>
            <w:pPr>
              <w:pStyle w:val="2"/>
              <w:ind w:firstLine="1890" w:firstLineChars="900"/>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溧阳市四方不锈钢制品有限公司</w:t>
            </w:r>
            <w:r>
              <w:rPr>
                <w:rFonts w:hint="eastAsia" w:asciiTheme="minorEastAsia" w:hAnsiTheme="minorEastAsia" w:eastAsiaTheme="minorEastAsia" w:cstheme="minorEastAsia"/>
                <w:bCs w:val="0"/>
                <w:spacing w:val="0"/>
                <w:kern w:val="2"/>
                <w:sz w:val="21"/>
                <w:szCs w:val="21"/>
                <w:highlight w:val="none"/>
                <w:lang w:val="en-US" w:eastAsia="zh-CN" w:bidi="ar-SA"/>
              </w:rPr>
              <w:tab/>
            </w:r>
            <w:r>
              <w:rPr>
                <w:rFonts w:hint="eastAsia" w:asciiTheme="minorEastAsia" w:hAnsiTheme="minorEastAsia" w:eastAsiaTheme="minorEastAsia" w:cstheme="minorEastAsia"/>
                <w:bCs w:val="0"/>
                <w:spacing w:val="0"/>
                <w:kern w:val="2"/>
                <w:sz w:val="21"/>
                <w:szCs w:val="21"/>
                <w:highlight w:val="none"/>
                <w:lang w:val="en-US" w:eastAsia="zh-CN" w:bidi="ar-SA"/>
              </w:rPr>
              <w:t>供水管材</w:t>
            </w:r>
          </w:p>
          <w:p>
            <w:pPr>
              <w:pStyle w:val="2"/>
              <w:ind w:firstLine="1890" w:firstLineChars="900"/>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西安沃荣化工有限公司</w:t>
            </w:r>
            <w:r>
              <w:rPr>
                <w:rFonts w:hint="eastAsia" w:asciiTheme="minorEastAsia" w:hAnsiTheme="minorEastAsia" w:eastAsiaTheme="minorEastAsia" w:cstheme="minorEastAsia"/>
                <w:bCs w:val="0"/>
                <w:spacing w:val="0"/>
                <w:kern w:val="2"/>
                <w:sz w:val="21"/>
                <w:szCs w:val="21"/>
                <w:highlight w:val="none"/>
                <w:lang w:val="en-US" w:eastAsia="zh-CN" w:bidi="ar-SA"/>
              </w:rPr>
              <w:tab/>
            </w:r>
            <w:r>
              <w:rPr>
                <w:rFonts w:hint="eastAsia" w:asciiTheme="minorEastAsia" w:hAnsiTheme="minorEastAsia" w:eastAsiaTheme="minorEastAsia" w:cstheme="minorEastAsia"/>
                <w:bCs w:val="0"/>
                <w:spacing w:val="0"/>
                <w:kern w:val="2"/>
                <w:sz w:val="21"/>
                <w:szCs w:val="21"/>
                <w:highlight w:val="none"/>
                <w:lang w:val="en-US" w:eastAsia="zh-CN" w:bidi="ar-SA"/>
              </w:rPr>
              <w:t>二氧化氯</w:t>
            </w:r>
          </w:p>
          <w:p>
            <w:pPr>
              <w:pStyle w:val="2"/>
              <w:ind w:firstLine="1890" w:firstLineChars="900"/>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辽宁莱特莱德环境工程有限公司</w:t>
            </w:r>
            <w:r>
              <w:rPr>
                <w:rFonts w:hint="eastAsia" w:asciiTheme="minorEastAsia" w:hAnsiTheme="minorEastAsia" w:eastAsiaTheme="minorEastAsia" w:cstheme="minorEastAsia"/>
                <w:bCs w:val="0"/>
                <w:spacing w:val="0"/>
                <w:kern w:val="2"/>
                <w:sz w:val="21"/>
                <w:szCs w:val="21"/>
                <w:highlight w:val="none"/>
                <w:lang w:val="en-US" w:eastAsia="zh-CN" w:bidi="ar-SA"/>
              </w:rPr>
              <w:tab/>
            </w:r>
            <w:r>
              <w:rPr>
                <w:rFonts w:hint="eastAsia" w:asciiTheme="minorEastAsia" w:hAnsiTheme="minorEastAsia" w:eastAsiaTheme="minorEastAsia" w:cstheme="minorEastAsia"/>
                <w:bCs w:val="0"/>
                <w:spacing w:val="0"/>
                <w:kern w:val="2"/>
                <w:sz w:val="21"/>
                <w:szCs w:val="21"/>
                <w:highlight w:val="none"/>
                <w:lang w:val="en-US" w:eastAsia="zh-CN" w:bidi="ar-SA"/>
              </w:rPr>
              <w:t>陶氏膜滤芯</w:t>
            </w:r>
          </w:p>
          <w:p>
            <w:pPr>
              <w:pStyle w:val="2"/>
              <w:ind w:firstLine="1890" w:firstLineChars="900"/>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陕西重德和众建设工程有限公司</w:t>
            </w:r>
            <w:r>
              <w:rPr>
                <w:rFonts w:hint="eastAsia" w:asciiTheme="minorEastAsia" w:hAnsiTheme="minorEastAsia" w:eastAsiaTheme="minorEastAsia" w:cstheme="minorEastAsia"/>
                <w:bCs w:val="0"/>
                <w:spacing w:val="0"/>
                <w:kern w:val="2"/>
                <w:sz w:val="21"/>
                <w:szCs w:val="21"/>
                <w:highlight w:val="none"/>
                <w:lang w:val="en-US" w:eastAsia="zh-CN" w:bidi="ar-SA"/>
              </w:rPr>
              <w:tab/>
            </w:r>
            <w:r>
              <w:rPr>
                <w:rFonts w:hint="eastAsia" w:asciiTheme="minorEastAsia" w:hAnsiTheme="minorEastAsia" w:eastAsiaTheme="minorEastAsia" w:cstheme="minorEastAsia"/>
                <w:bCs w:val="0"/>
                <w:spacing w:val="0"/>
                <w:kern w:val="2"/>
                <w:sz w:val="21"/>
                <w:szCs w:val="21"/>
                <w:highlight w:val="none"/>
                <w:lang w:val="en-US" w:eastAsia="zh-CN" w:bidi="ar-SA"/>
              </w:rPr>
              <w:t>市政维修</w:t>
            </w:r>
          </w:p>
          <w:p>
            <w:pPr>
              <w:pStyle w:val="2"/>
              <w:ind w:firstLine="1890" w:firstLineChars="900"/>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西安宏胜管道疏通工程有限公司</w:t>
            </w:r>
            <w:r>
              <w:rPr>
                <w:rFonts w:hint="eastAsia" w:asciiTheme="minorEastAsia" w:hAnsiTheme="minorEastAsia" w:eastAsiaTheme="minorEastAsia" w:cstheme="minorEastAsia"/>
                <w:bCs w:val="0"/>
                <w:spacing w:val="0"/>
                <w:kern w:val="2"/>
                <w:sz w:val="21"/>
                <w:szCs w:val="21"/>
                <w:highlight w:val="none"/>
                <w:lang w:val="en-US" w:eastAsia="zh-CN" w:bidi="ar-SA"/>
              </w:rPr>
              <w:tab/>
            </w:r>
            <w:r>
              <w:rPr>
                <w:rFonts w:hint="eastAsia" w:asciiTheme="minorEastAsia" w:hAnsiTheme="minorEastAsia" w:eastAsiaTheme="minorEastAsia" w:cstheme="minorEastAsia"/>
                <w:bCs w:val="0"/>
                <w:spacing w:val="0"/>
                <w:kern w:val="2"/>
                <w:sz w:val="21"/>
                <w:szCs w:val="21"/>
                <w:highlight w:val="none"/>
                <w:lang w:val="en-US" w:eastAsia="zh-CN" w:bidi="ar-SA"/>
              </w:rPr>
              <w:t>雨污水管道疏通</w:t>
            </w:r>
          </w:p>
          <w:p>
            <w:pPr>
              <w:pStyle w:val="2"/>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default" w:asciiTheme="minorEastAsia" w:hAnsiTheme="minorEastAsia" w:eastAsiaTheme="minorEastAsia" w:cstheme="minorEastAsia"/>
                <w:bCs w:val="0"/>
                <w:spacing w:val="0"/>
                <w:kern w:val="2"/>
                <w:sz w:val="21"/>
                <w:szCs w:val="21"/>
                <w:highlight w:val="none"/>
                <w:lang w:val="en-US" w:eastAsia="zh-CN" w:bidi="ar-SA"/>
              </w:rPr>
              <w:t>……</w:t>
            </w:r>
          </w:p>
          <w:p>
            <w:pPr>
              <w:pStyle w:val="2"/>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对供应商进行评审，建立合格供应商清单。符合要求。</w:t>
            </w:r>
          </w:p>
          <w:p>
            <w:pPr>
              <w:pStyle w:val="2"/>
              <w:rPr>
                <w:rFonts w:hint="default"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 xml:space="preserve">                                                                                                                                                    </w:t>
            </w:r>
          </w:p>
          <w:p>
            <w:pPr>
              <w:pStyle w:val="2"/>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进厂的采购产品，由运营管理部按合同核对数量、材质单、合格证，验证规格、型号后，在入库单上签字。</w:t>
            </w:r>
          </w:p>
          <w:p>
            <w:pPr>
              <w:pStyle w:val="2"/>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——查采购产品的验证,详见Q8.6</w:t>
            </w:r>
          </w:p>
          <w:p>
            <w:pPr>
              <w:pStyle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见劳务分包合同，合同如下：</w:t>
            </w:r>
          </w:p>
          <w:p>
            <w:pPr>
              <w:pStyle w:val="2"/>
              <w:ind w:firstLine="210" w:firstLineChars="100"/>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陕西重德和众建设工程有限公司</w:t>
            </w:r>
            <w:r>
              <w:rPr>
                <w:rFonts w:hint="eastAsia" w:asciiTheme="minorEastAsia" w:hAnsiTheme="minorEastAsia" w:eastAsiaTheme="minorEastAsia" w:cstheme="minorEastAsia"/>
                <w:bCs w:val="0"/>
                <w:spacing w:val="0"/>
                <w:kern w:val="2"/>
                <w:sz w:val="21"/>
                <w:szCs w:val="21"/>
                <w:highlight w:val="none"/>
                <w:lang w:val="en-US" w:eastAsia="zh-CN" w:bidi="ar-SA"/>
              </w:rPr>
              <w:tab/>
            </w:r>
            <w:r>
              <w:rPr>
                <w:rFonts w:hint="eastAsia" w:asciiTheme="minorEastAsia" w:hAnsiTheme="minorEastAsia" w:eastAsiaTheme="minorEastAsia" w:cstheme="minorEastAsia"/>
                <w:bCs w:val="0"/>
                <w:spacing w:val="0"/>
                <w:kern w:val="2"/>
                <w:sz w:val="21"/>
                <w:szCs w:val="21"/>
                <w:highlight w:val="none"/>
                <w:lang w:val="en-US" w:eastAsia="zh-CN" w:bidi="ar-SA"/>
              </w:rPr>
              <w:t>市政维修</w:t>
            </w:r>
          </w:p>
          <w:p>
            <w:pPr>
              <w:pStyle w:val="2"/>
              <w:ind w:firstLine="210" w:firstLineChars="100"/>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西安宏胜管道疏通工程有限公司</w:t>
            </w:r>
            <w:r>
              <w:rPr>
                <w:rFonts w:hint="eastAsia" w:asciiTheme="minorEastAsia" w:hAnsiTheme="minorEastAsia" w:eastAsiaTheme="minorEastAsia" w:cstheme="minorEastAsia"/>
                <w:bCs w:val="0"/>
                <w:spacing w:val="0"/>
                <w:kern w:val="2"/>
                <w:sz w:val="21"/>
                <w:szCs w:val="21"/>
                <w:highlight w:val="none"/>
                <w:lang w:val="en-US" w:eastAsia="zh-CN" w:bidi="ar-SA"/>
              </w:rPr>
              <w:tab/>
            </w:r>
            <w:r>
              <w:rPr>
                <w:rFonts w:hint="eastAsia" w:asciiTheme="minorEastAsia" w:hAnsiTheme="minorEastAsia" w:eastAsiaTheme="minorEastAsia" w:cstheme="minorEastAsia"/>
                <w:bCs w:val="0"/>
                <w:spacing w:val="0"/>
                <w:kern w:val="2"/>
                <w:sz w:val="21"/>
                <w:szCs w:val="21"/>
                <w:highlight w:val="none"/>
                <w:lang w:val="en-US" w:eastAsia="zh-CN" w:bidi="ar-SA"/>
              </w:rPr>
              <w:t>雨污水管道疏通</w:t>
            </w:r>
          </w:p>
          <w:p>
            <w:pPr>
              <w:pStyle w:val="2"/>
              <w:ind w:firstLine="210" w:firstLineChars="100"/>
              <w:rPr>
                <w:rFonts w:hint="default"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市政道路施工单位为外包方陕西重德和众建设工程有限公司、西安宏胜管道疏通工程有限公司，暂无外包方施工维修过程的记录，已提出改进要求，下一年度监督审核时再查。</w:t>
            </w:r>
          </w:p>
          <w:p>
            <w:pPr>
              <w:pStyle w:val="2"/>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见电工资格证书，姓名：黄继超   编号：16611100941301117</w:t>
            </w:r>
          </w:p>
          <w:p>
            <w:pPr>
              <w:pStyle w:val="2"/>
              <w:rPr>
                <w:rFonts w:hint="default"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0000FF"/>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通过与运营管理部金峰沟通，公司已联系外部机构进行三级安全员培训，下一年度监督审核时重点查看安全员证件。 </w:t>
            </w:r>
            <w:r>
              <w:rPr>
                <w:rFonts w:hint="eastAsia" w:asciiTheme="minorEastAsia" w:hAnsiTheme="minorEastAsia" w:eastAsiaTheme="minorEastAsia" w:cstheme="minorEastAsia"/>
                <w:color w:val="0000FF"/>
                <w:sz w:val="21"/>
                <w:szCs w:val="21"/>
                <w:highlight w:val="none"/>
                <w:lang w:val="en-US" w:eastAsia="zh-CN"/>
              </w:rPr>
              <w:t xml:space="preserve"> </w:t>
            </w:r>
          </w:p>
          <w:p>
            <w:pPr>
              <w:pStyle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见三级安全教育记录，</w:t>
            </w:r>
          </w:p>
          <w:p>
            <w:pPr>
              <w:pStyle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时间：2020.6.12         受教育人：</w:t>
            </w:r>
            <w:r>
              <w:rPr>
                <w:rFonts w:hint="eastAsia"/>
                <w:color w:val="auto"/>
                <w:sz w:val="21"/>
                <w:szCs w:val="21"/>
                <w:lang w:val="en-US" w:eastAsia="zh-CN"/>
              </w:rPr>
              <w:t>高可强、孙凯、江攀、</w:t>
            </w:r>
            <w:r>
              <w:rPr>
                <w:rFonts w:hint="eastAsia" w:asciiTheme="minorEastAsia" w:hAnsiTheme="minorEastAsia" w:eastAsiaTheme="minorEastAsia" w:cstheme="minorEastAsia"/>
                <w:color w:val="auto"/>
                <w:sz w:val="21"/>
                <w:szCs w:val="21"/>
                <w:lang w:val="en-US" w:eastAsia="zh-CN"/>
              </w:rPr>
              <w:t>张冕、雒新峰、李航泊、岳朋举</w:t>
            </w:r>
          </w:p>
          <w:p>
            <w:pPr>
              <w:pStyle w:val="2"/>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教育人：金峰</w:t>
            </w:r>
          </w:p>
          <w:p>
            <w:pPr>
              <w:pStyle w:val="2"/>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主要内容：对市政道路维护以及供水站日常运行安全作业进行了培训。</w:t>
            </w:r>
          </w:p>
          <w:p>
            <w:pPr>
              <w:pStyle w:val="2"/>
              <w:rPr>
                <w:rFonts w:hint="default" w:asciiTheme="minorEastAsia" w:hAnsiTheme="minorEastAsia" w:eastAsiaTheme="minorEastAsia" w:cstheme="minorEastAsia"/>
                <w:color w:val="auto"/>
                <w:sz w:val="21"/>
                <w:szCs w:val="21"/>
                <w:highlight w:val="red"/>
                <w:lang w:val="en-US" w:eastAsia="zh-CN"/>
              </w:rPr>
            </w:pPr>
            <w:r>
              <w:rPr>
                <w:rFonts w:hint="eastAsia" w:asciiTheme="minorEastAsia" w:hAnsiTheme="minorEastAsia" w:eastAsiaTheme="minorEastAsia" w:cstheme="minorEastAsia"/>
                <w:color w:val="auto"/>
                <w:sz w:val="21"/>
                <w:szCs w:val="21"/>
                <w:highlight w:val="none"/>
                <w:lang w:val="en-US" w:eastAsia="zh-CN"/>
              </w:rPr>
              <w:t>效果评价：经过培训，参会人员对安全作业有了深刻理解，培训效果良好。</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73" w:type="dxa"/>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风险管控的策划和实施</w:t>
            </w:r>
          </w:p>
        </w:tc>
        <w:tc>
          <w:tcPr>
            <w:tcW w:w="965" w:type="dxa"/>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QEO6.1</w:t>
            </w:r>
          </w:p>
        </w:tc>
        <w:tc>
          <w:tcPr>
            <w:tcW w:w="10927" w:type="dxa"/>
            <w:vAlign w:val="top"/>
          </w:tcPr>
          <w:p>
            <w:pPr>
              <w:pStyle w:val="2"/>
              <w:rPr>
                <w:rFonts w:hint="eastAsia" w:asciiTheme="minorEastAsia" w:hAnsiTheme="minorEastAsia" w:eastAsiaTheme="minorEastAsia" w:cstheme="minorEastAsia"/>
                <w:bCs w:val="0"/>
                <w:color w:val="auto"/>
                <w:spacing w:val="0"/>
                <w:kern w:val="2"/>
                <w:sz w:val="21"/>
                <w:szCs w:val="21"/>
                <w:highlight w:val="none"/>
                <w:lang w:val="en-US" w:eastAsia="zh-CN" w:bidi="ar-SA"/>
              </w:rPr>
            </w:pPr>
            <w:r>
              <w:rPr>
                <w:rFonts w:hint="eastAsia" w:asciiTheme="minorEastAsia" w:hAnsiTheme="minorEastAsia" w:eastAsiaTheme="minorEastAsia" w:cstheme="minorEastAsia"/>
                <w:bCs w:val="0"/>
                <w:color w:val="auto"/>
                <w:spacing w:val="0"/>
                <w:kern w:val="2"/>
                <w:sz w:val="21"/>
                <w:szCs w:val="21"/>
                <w:highlight w:val="none"/>
                <w:lang w:val="en-US" w:eastAsia="zh-CN" w:bidi="ar-SA"/>
              </w:rPr>
              <w:t>公司编制了《SXCS/CX-C-15风险和机遇分析、评价和应对措施的确定程序》。 风险管理流程：风险识别——风险评估——风险响应——风险控制。</w:t>
            </w:r>
          </w:p>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val="0"/>
                <w:color w:val="auto"/>
                <w:spacing w:val="0"/>
                <w:kern w:val="2"/>
                <w:sz w:val="21"/>
                <w:szCs w:val="21"/>
                <w:highlight w:val="none"/>
                <w:lang w:val="en-US" w:eastAsia="zh-CN" w:bidi="ar-SA"/>
              </w:rPr>
              <w:t>提供风险和机遇评估分析表,对识别的风险和机遇进行评估，并制定了应对风险及机遇的措施。措施有效</w:t>
            </w:r>
            <w:r>
              <w:rPr>
                <w:rFonts w:hint="eastAsia" w:asciiTheme="minorEastAsia" w:hAnsiTheme="minorEastAsia" w:eastAsiaTheme="minorEastAsia" w:cstheme="minorEastAsia"/>
                <w:color w:val="auto"/>
                <w:sz w:val="21"/>
                <w:szCs w:val="21"/>
                <w:highlight w:val="none"/>
                <w:lang w:val="en-US" w:eastAsia="zh-CN"/>
              </w:rPr>
              <w:t>。</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173"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环境因素识别，危险源辨识、风险评估及控制措施</w:t>
            </w:r>
          </w:p>
        </w:tc>
        <w:tc>
          <w:tcPr>
            <w:tcW w:w="965"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EO:6.1.2/6.1.4</w:t>
            </w:r>
          </w:p>
        </w:tc>
        <w:tc>
          <w:tcPr>
            <w:tcW w:w="10927" w:type="dxa"/>
            <w:vAlign w:val="top"/>
          </w:tcPr>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详见综合部记录。</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bl>
    <w:p>
      <w:pPr>
        <w:pStyle w:val="12"/>
        <w:rPr>
          <w:rFonts w:hint="eastAsia"/>
        </w:rPr>
      </w:pPr>
    </w:p>
    <w:p>
      <w:pPr>
        <w:pStyle w:val="12"/>
        <w:rPr>
          <w:rFonts w:hint="eastAsia"/>
        </w:rPr>
      </w:pPr>
    </w:p>
    <w:p>
      <w:pPr>
        <w:pStyle w:val="12"/>
        <w:rPr>
          <w:rFonts w:hint="eastAsia"/>
        </w:rPr>
      </w:pPr>
    </w:p>
    <w:p>
      <w:pPr>
        <w:pStyle w:val="2"/>
        <w:rPr>
          <w:rFonts w:hint="eastAsia"/>
          <w:lang w:val="en-US" w:eastAsia="zh-CN"/>
        </w:rPr>
      </w:pPr>
    </w:p>
    <w:p>
      <w:pPr>
        <w:pStyle w:val="12"/>
        <w:rPr>
          <w:rFonts w:hint="eastAsia"/>
        </w:rPr>
      </w:pPr>
    </w:p>
    <w:p>
      <w:pP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br w:type="page"/>
      </w:r>
    </w:p>
    <w:p>
      <w:pPr>
        <w:spacing w:line="480" w:lineRule="exact"/>
        <w:jc w:val="center"/>
        <w:rPr>
          <w:rFonts w:hint="eastAsia" w:asciiTheme="minorEastAsia" w:hAnsiTheme="minorEastAsia" w:eastAsiaTheme="minorEastAsia" w:cstheme="minorEastAsia"/>
          <w:bCs/>
          <w:color w:val="000000"/>
          <w:sz w:val="36"/>
          <w:szCs w:val="36"/>
          <w:lang w:val="en-US" w:eastAsia="zh-CN"/>
        </w:rPr>
      </w:pPr>
      <w:r>
        <w:rPr>
          <w:rFonts w:hint="eastAsia" w:asciiTheme="minorEastAsia" w:hAnsiTheme="minorEastAsia" w:eastAsiaTheme="minorEastAsia" w:cstheme="minorEastAsia"/>
          <w:bCs/>
          <w:color w:val="000000"/>
          <w:sz w:val="36"/>
          <w:szCs w:val="36"/>
        </w:rPr>
        <w:t>管理体系审核记录表</w:t>
      </w:r>
      <w:r>
        <w:rPr>
          <w:rFonts w:hint="eastAsia" w:asciiTheme="minorEastAsia" w:hAnsiTheme="minorEastAsia" w:eastAsiaTheme="minorEastAsia" w:cstheme="minorEastAsia"/>
          <w:bCs/>
          <w:color w:val="000000"/>
          <w:sz w:val="36"/>
          <w:szCs w:val="36"/>
          <w:lang w:val="en-US" w:eastAsia="zh-CN"/>
        </w:rPr>
        <w:t>2</w:t>
      </w:r>
    </w:p>
    <w:tbl>
      <w:tblPr>
        <w:tblStyle w:val="1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004"/>
        <w:gridCol w:w="11251"/>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1004" w:type="dxa"/>
            <w:vMerge w:val="restart"/>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1251" w:type="dxa"/>
            <w:vAlign w:val="center"/>
          </w:tcPr>
          <w:p>
            <w:pPr>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受审核部门：综合部     主管领导：</w:t>
            </w:r>
            <w:r>
              <w:rPr>
                <w:rFonts w:hint="eastAsia" w:asciiTheme="minorEastAsia" w:hAnsiTheme="minorEastAsia" w:eastAsiaTheme="minorEastAsia" w:cstheme="minorEastAsia"/>
                <w:color w:val="auto"/>
                <w:szCs w:val="21"/>
                <w:highlight w:val="none"/>
                <w:lang w:eastAsia="zh-CN"/>
              </w:rPr>
              <w:t>薛宇航</w:t>
            </w:r>
            <w:r>
              <w:rPr>
                <w:rFonts w:hint="eastAsia" w:asciiTheme="minorEastAsia" w:hAnsiTheme="minorEastAsia" w:eastAsiaTheme="minorEastAsia" w:cstheme="minorEastAsia"/>
                <w:color w:val="auto"/>
                <w:szCs w:val="21"/>
                <w:highlight w:val="none"/>
              </w:rPr>
              <w:t xml:space="preserve">     陪同人员：</w:t>
            </w:r>
            <w:r>
              <w:rPr>
                <w:rFonts w:hint="eastAsia" w:asciiTheme="minorEastAsia" w:hAnsiTheme="minorEastAsia" w:eastAsiaTheme="minorEastAsia" w:cstheme="minorEastAsia"/>
                <w:color w:val="auto"/>
                <w:szCs w:val="21"/>
                <w:highlight w:val="none"/>
                <w:lang w:eastAsia="zh-CN"/>
              </w:rPr>
              <w:t>高翡</w:t>
            </w:r>
          </w:p>
        </w:tc>
        <w:tc>
          <w:tcPr>
            <w:tcW w:w="655" w:type="dxa"/>
            <w:vMerge w:val="restart"/>
            <w:vAlign w:val="center"/>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spacing w:line="360" w:lineRule="auto"/>
              <w:rPr>
                <w:rFonts w:hint="eastAsia" w:asciiTheme="minorEastAsia" w:hAnsiTheme="minorEastAsia" w:eastAsiaTheme="minorEastAsia" w:cstheme="minorEastAsia"/>
                <w:szCs w:val="21"/>
              </w:rPr>
            </w:pPr>
          </w:p>
        </w:tc>
        <w:tc>
          <w:tcPr>
            <w:tcW w:w="1004" w:type="dxa"/>
            <w:vMerge w:val="continue"/>
            <w:vAlign w:val="center"/>
          </w:tcPr>
          <w:p>
            <w:pPr>
              <w:spacing w:line="360" w:lineRule="auto"/>
              <w:rPr>
                <w:rFonts w:hint="eastAsia" w:asciiTheme="minorEastAsia" w:hAnsiTheme="minorEastAsia" w:eastAsiaTheme="minorEastAsia" w:cstheme="minorEastAsia"/>
                <w:szCs w:val="21"/>
              </w:rPr>
            </w:pPr>
          </w:p>
        </w:tc>
        <w:tc>
          <w:tcPr>
            <w:tcW w:w="11251" w:type="dxa"/>
            <w:vAlign w:val="center"/>
          </w:tcPr>
          <w:p>
            <w:pPr>
              <w:spacing w:before="12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审核员：王志慧                审核时间：2020年1</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月2</w:t>
            </w:r>
            <w:r>
              <w:rPr>
                <w:rFonts w:hint="eastAsia" w:asciiTheme="minorEastAsia" w:hAnsiTheme="minorEastAsia" w:eastAsiaTheme="minorEastAsia" w:cstheme="minorEastAsia"/>
                <w:color w:val="auto"/>
                <w:szCs w:val="21"/>
                <w:highlight w:val="none"/>
                <w:lang w:val="en-US" w:eastAsia="zh-CN"/>
              </w:rPr>
              <w:t>0-21</w:t>
            </w:r>
            <w:r>
              <w:rPr>
                <w:rFonts w:hint="eastAsia" w:asciiTheme="minorEastAsia" w:hAnsiTheme="minorEastAsia" w:eastAsiaTheme="minorEastAsia" w:cstheme="minorEastAsia"/>
                <w:color w:val="auto"/>
                <w:szCs w:val="21"/>
                <w:highlight w:val="none"/>
              </w:rPr>
              <w:t>日</w:t>
            </w:r>
          </w:p>
        </w:tc>
        <w:tc>
          <w:tcPr>
            <w:tcW w:w="655" w:type="dxa"/>
            <w:vMerge w:val="continue"/>
          </w:tcPr>
          <w:p>
            <w:pPr>
              <w:spacing w:line="360" w:lineRule="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spacing w:line="360" w:lineRule="auto"/>
              <w:rPr>
                <w:rFonts w:hint="eastAsia" w:asciiTheme="minorEastAsia" w:hAnsiTheme="minorEastAsia" w:eastAsiaTheme="minorEastAsia" w:cstheme="minorEastAsia"/>
                <w:szCs w:val="21"/>
              </w:rPr>
            </w:pPr>
          </w:p>
        </w:tc>
        <w:tc>
          <w:tcPr>
            <w:tcW w:w="1004" w:type="dxa"/>
            <w:vMerge w:val="continue"/>
            <w:vAlign w:val="center"/>
          </w:tcPr>
          <w:p>
            <w:pPr>
              <w:spacing w:line="360" w:lineRule="auto"/>
              <w:rPr>
                <w:rFonts w:hint="eastAsia" w:asciiTheme="minorEastAsia" w:hAnsiTheme="minorEastAsia" w:eastAsiaTheme="minorEastAsia" w:cstheme="minorEastAsia"/>
                <w:szCs w:val="21"/>
              </w:rPr>
            </w:pPr>
          </w:p>
        </w:tc>
        <w:tc>
          <w:tcPr>
            <w:tcW w:w="11251" w:type="dxa"/>
            <w:vAlign w:val="center"/>
          </w:tcPr>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审核条款：</w:t>
            </w:r>
          </w:p>
          <w:p>
            <w:pPr>
              <w:spacing w:line="360" w:lineRule="auto"/>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E/O:6.1.2环境因素/危险源的辨识与评价、6.1.3合规义务、6.1.4措施的策划、8.1运行策划和控制、9.1监视、测量、分析和评价（9.1.1总则、9.1.2合规性评价）、8.2应急准备和响应</w:t>
            </w:r>
          </w:p>
          <w:p>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专业条款审核有李波的专业支持）</w:t>
            </w:r>
          </w:p>
        </w:tc>
        <w:tc>
          <w:tcPr>
            <w:tcW w:w="655" w:type="dxa"/>
            <w:vMerge w:val="continue"/>
          </w:tcPr>
          <w:p>
            <w:pPr>
              <w:spacing w:line="360" w:lineRule="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vAlign w:val="top"/>
          </w:tcPr>
          <w:p>
            <w:pP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 w:val="21"/>
                <w:szCs w:val="21"/>
                <w:highlight w:val="none"/>
                <w:lang w:val="en-US" w:eastAsia="zh-CN"/>
              </w:rPr>
              <w:t>环境因素识别，危险源辨识、风险评估及控制措施</w:t>
            </w:r>
          </w:p>
        </w:tc>
        <w:tc>
          <w:tcPr>
            <w:tcW w:w="1004" w:type="dxa"/>
            <w:vAlign w:val="top"/>
          </w:tcPr>
          <w:p>
            <w:pP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 w:val="21"/>
                <w:szCs w:val="21"/>
                <w:highlight w:val="none"/>
                <w:lang w:val="en-US" w:eastAsia="zh-CN"/>
              </w:rPr>
              <w:t>EO:6.1.2/6.1.4</w:t>
            </w:r>
          </w:p>
        </w:tc>
        <w:tc>
          <w:tcPr>
            <w:tcW w:w="11251" w:type="dxa"/>
            <w:vAlign w:val="top"/>
          </w:tcPr>
          <w:p>
            <w:p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编制《 环境因素识别和评价控制程序》SXCS/CX-C-03、《危险源辨识、风险评价和控制措施的确定》SXCS/CX-C-04、《风险和机遇分析、评价和应对措施的确定程序》SXCS/CX-C-15等程序，按照相关程序执行</w:t>
            </w:r>
          </w:p>
          <w:p>
            <w:p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提供《环境因素识别排查表》识别了办公区、</w:t>
            </w:r>
            <w:r>
              <w:rPr>
                <w:rFonts w:hint="eastAsia" w:ascii="宋体" w:hAnsi="宋体"/>
                <w:szCs w:val="21"/>
              </w:rPr>
              <w:t>运营管理部门</w:t>
            </w:r>
            <w:r>
              <w:rPr>
                <w:rFonts w:hint="eastAsia" w:ascii="宋体" w:hAnsi="宋体" w:cs="Times New Roman"/>
                <w:szCs w:val="21"/>
                <w:lang w:val="en-US" w:eastAsia="zh-CN"/>
              </w:rPr>
              <w:t>、</w:t>
            </w:r>
            <w:r>
              <w:rPr>
                <w:rFonts w:hint="eastAsia" w:ascii="宋体" w:hAnsi="宋体" w:cs="Times New Roman"/>
                <w:szCs w:val="21"/>
              </w:rPr>
              <w:t>供水厂运营过程</w:t>
            </w:r>
            <w:r>
              <w:rPr>
                <w:rFonts w:hint="eastAsia" w:ascii="宋体" w:hAnsi="宋体" w:cs="Times New Roman"/>
                <w:szCs w:val="21"/>
                <w:lang w:eastAsia="zh-CN"/>
              </w:rPr>
              <w:t>、</w:t>
            </w:r>
            <w:r>
              <w:rPr>
                <w:rFonts w:hint="eastAsia" w:ascii="宋体" w:hAnsi="宋体" w:cs="Times New Roman"/>
                <w:szCs w:val="21"/>
              </w:rPr>
              <w:t>市政道路及基础设施的维护保养过程</w:t>
            </w:r>
            <w:r>
              <w:rPr>
                <w:rFonts w:hint="eastAsia" w:ascii="宋体" w:hAnsi="宋体" w:cs="Times New Roman"/>
                <w:szCs w:val="21"/>
                <w:lang w:val="en-US" w:eastAsia="zh-CN"/>
              </w:rPr>
              <w:t>等</w:t>
            </w:r>
            <w:r>
              <w:rPr>
                <w:rFonts w:hint="eastAsia" w:asciiTheme="minorEastAsia" w:hAnsiTheme="minorEastAsia" w:eastAsiaTheme="minorEastAsia" w:cstheme="minorEastAsia"/>
                <w:sz w:val="21"/>
                <w:szCs w:val="21"/>
                <w:highlight w:val="none"/>
                <w:lang w:val="en-US" w:eastAsia="zh-CN"/>
              </w:rPr>
              <w:t>环境因素包括：水的消耗、电的消耗、办公用品的消耗、化学药剂废桶、水处理设备运行噪音排放、中水排放、生活垃圾的排放、修剪绿篱、灌木、乔木等产生的废弃物、电气维修过程产生的废电线、电灯、道路维修产生的废弃物等；</w:t>
            </w:r>
          </w:p>
          <w:p>
            <w:p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提供《重要环境因素清单》4项，包括固废排放（化学药剂废桶、废滤芯）、火灾、噪音、废水排放发生</w:t>
            </w:r>
            <w:r>
              <w:rPr>
                <w:rFonts w:hint="eastAsia" w:asciiTheme="minorEastAsia" w:hAnsiTheme="minorEastAsia" w:eastAsiaTheme="minorEastAsia" w:cstheme="minorEastAsia"/>
                <w:color w:val="auto"/>
                <w:sz w:val="21"/>
                <w:szCs w:val="21"/>
                <w:highlight w:val="none"/>
                <w:lang w:val="en-US" w:eastAsia="zh-CN"/>
              </w:rPr>
              <w:t>。</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提供《危险源辨识与风险评价》，识别了办公区、</w:t>
            </w:r>
            <w:r>
              <w:rPr>
                <w:rFonts w:hint="eastAsia" w:ascii="宋体" w:hAnsi="宋体"/>
                <w:szCs w:val="21"/>
              </w:rPr>
              <w:t>运营管理部门</w:t>
            </w:r>
            <w:r>
              <w:rPr>
                <w:rFonts w:hint="eastAsia" w:ascii="宋体" w:hAnsi="宋体" w:cs="Times New Roman"/>
                <w:szCs w:val="21"/>
                <w:lang w:val="en-US" w:eastAsia="zh-CN"/>
              </w:rPr>
              <w:t>、</w:t>
            </w:r>
            <w:r>
              <w:rPr>
                <w:rFonts w:hint="eastAsia" w:ascii="宋体" w:hAnsi="宋体" w:cs="Times New Roman"/>
                <w:szCs w:val="21"/>
              </w:rPr>
              <w:t>供水厂运营过程</w:t>
            </w:r>
            <w:r>
              <w:rPr>
                <w:rFonts w:hint="eastAsia" w:ascii="宋体" w:hAnsi="宋体" w:cs="Times New Roman"/>
                <w:szCs w:val="21"/>
                <w:lang w:eastAsia="zh-CN"/>
              </w:rPr>
              <w:t>、</w:t>
            </w:r>
            <w:r>
              <w:rPr>
                <w:rFonts w:hint="eastAsia" w:ascii="宋体" w:hAnsi="宋体" w:cs="Times New Roman"/>
                <w:szCs w:val="21"/>
              </w:rPr>
              <w:t>市政道路及基础设施的维护保养过程</w:t>
            </w:r>
            <w:r>
              <w:rPr>
                <w:rFonts w:hint="eastAsia" w:ascii="宋体" w:hAnsi="宋体" w:cs="Times New Roman"/>
                <w:szCs w:val="21"/>
                <w:lang w:val="en-US" w:eastAsia="zh-CN"/>
              </w:rPr>
              <w:t>等</w:t>
            </w:r>
            <w:r>
              <w:rPr>
                <w:rFonts w:hint="eastAsia" w:asciiTheme="minorEastAsia" w:hAnsiTheme="minorEastAsia" w:eastAsiaTheme="minorEastAsia" w:cstheme="minorEastAsia"/>
                <w:sz w:val="21"/>
                <w:szCs w:val="21"/>
                <w:highlight w:val="none"/>
                <w:lang w:val="en-US" w:eastAsia="zh-CN"/>
              </w:rPr>
              <w:t>危险源，抽查如下：</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作业活动</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危险源</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导致的后果</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道路网裂、沉陷</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绊倒</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人身伤害</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绿地养护设备使用</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机械伤害</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人身伤害</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施工垃圾未及时清理</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堵塞交通、绊倒行人</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人身伤害</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跟换线路、电灯</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引起触电</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人身伤害</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设备短路</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引起火灾</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人身伤害</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密闭空间作业</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人员被困在密闭空间</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人身伤害</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更换路灯</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从高处坠落</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人身伤害</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井盖丢失</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掉进井内</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人身伤害</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无护栏，从高处跌落到水处理间</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从高处坠落</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人身伤害</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线路短路</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引起火灾</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人身伤害</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设备违规操作</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引起触电</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人身伤害</w:t>
            </w:r>
          </w:p>
          <w:p>
            <w:pPr>
              <w:pStyle w:val="2"/>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见《不可接受危险源清单》，意外伤害、触电、火灾伤害、被困密闭空间、噪音、意外交通事故、高空坠物。</w:t>
            </w:r>
          </w:p>
          <w:p>
            <w:pPr>
              <w:pStyle w:val="2"/>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val="0"/>
                <w:spacing w:val="0"/>
                <w:kern w:val="2"/>
                <w:sz w:val="21"/>
                <w:szCs w:val="21"/>
                <w:highlight w:val="none"/>
                <w:lang w:val="en-US" w:eastAsia="zh-CN" w:bidi="ar-SA"/>
              </w:rPr>
              <w:t>以上重要环境因素清单、重要危险因素清单中制定了针对性控制措施，措施基本有效。</w:t>
            </w:r>
          </w:p>
        </w:tc>
        <w:tc>
          <w:tcPr>
            <w:tcW w:w="655" w:type="dxa"/>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vAlign w:val="top"/>
          </w:tcPr>
          <w:p>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法律法规和其他要求和合规性评价</w:t>
            </w:r>
          </w:p>
        </w:tc>
        <w:tc>
          <w:tcPr>
            <w:tcW w:w="1004" w:type="dxa"/>
            <w:vAlign w:val="top"/>
          </w:tcPr>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O</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6.1.3</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O</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9.1.2</w:t>
            </w:r>
          </w:p>
          <w:p>
            <w:pPr>
              <w:pStyle w:val="2"/>
              <w:rPr>
                <w:rFonts w:hint="eastAsia" w:asciiTheme="minorEastAsia" w:hAnsiTheme="minorEastAsia" w:eastAsiaTheme="minorEastAsia" w:cstheme="minorEastAsia"/>
                <w:bCs/>
                <w:szCs w:val="21"/>
                <w:highlight w:val="none"/>
              </w:rPr>
            </w:pPr>
          </w:p>
        </w:tc>
        <w:tc>
          <w:tcPr>
            <w:tcW w:w="11251" w:type="dxa"/>
            <w:vAlign w:val="top"/>
          </w:tcPr>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 xml:space="preserve">有SXCS/CX-C-05法律法规及其他要求控制程序、SXCS/CX-C-20合规性评价控制程序 </w:t>
            </w:r>
            <w:r>
              <w:rPr>
                <w:rFonts w:hint="eastAsia" w:asciiTheme="minorEastAsia" w:hAnsiTheme="minorEastAsia" w:eastAsiaTheme="minorEastAsia" w:cstheme="minorEastAsia"/>
                <w:color w:val="auto"/>
                <w:sz w:val="21"/>
                <w:szCs w:val="21"/>
                <w:highlight w:val="none"/>
                <w:lang w:val="en-US" w:eastAsia="zh-CN"/>
              </w:rPr>
              <w:t>等，</w:t>
            </w:r>
          </w:p>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w:t>
            </w:r>
            <w:r>
              <w:rPr>
                <w:rFonts w:hint="eastAsia" w:asciiTheme="minorEastAsia" w:hAnsiTheme="minorEastAsia" w:eastAsiaTheme="minorEastAsia" w:cstheme="minorEastAsia"/>
                <w:color w:val="auto"/>
                <w:sz w:val="21"/>
                <w:szCs w:val="21"/>
                <w:highlight w:val="none"/>
              </w:rPr>
              <w:t>法律法规和其他要求一览表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合规性评价表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评审时间</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2020年4月30日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评审地点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公司会议室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记录人高翡</w:t>
            </w:r>
            <w:r>
              <w:rPr>
                <w:rFonts w:hint="eastAsia" w:asciiTheme="minorEastAsia" w:hAnsiTheme="minorEastAsia" w:eastAsiaTheme="minorEastAsia" w:cstheme="minorEastAsia"/>
                <w:color w:val="auto"/>
                <w:sz w:val="21"/>
                <w:szCs w:val="21"/>
                <w:highlight w:val="none"/>
                <w:lang w:eastAsia="zh-CN"/>
              </w:rPr>
              <w:t>，</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参加人员</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严恪、高翡、薛宇航、王子怡、郑刚、穆应应等</w:t>
            </w:r>
            <w:r>
              <w:rPr>
                <w:rFonts w:hint="eastAsia" w:asciiTheme="minorEastAsia" w:hAnsiTheme="minorEastAsia" w:eastAsiaTheme="minorEastAsia" w:cstheme="minorEastAsia"/>
                <w:color w:val="auto"/>
                <w:sz w:val="21"/>
                <w:szCs w:val="21"/>
                <w:highlight w:val="none"/>
                <w:lang w:val="en-US" w:eastAsia="zh-CN"/>
              </w:rPr>
              <w:t>，抽查如下：</w:t>
            </w:r>
          </w:p>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华人民共和国消防法》、陕西省消防条例、陕西省安全生产条例、陕西省重大危险源监督管理规定、危险化学品安全管理条例、污水综合排放标准、处置场污染控制标准、危险废物转移联单管理办法、陕西省实施《中华人民共和国环境影响评价法》办法、陕西省节约用水办法、国家突发环境事件应急预案、环境空气质量标准、陕西省化学危险品安全管理规定（试行）、突发环境事件应急预案编制导则等，控制措施及现状：已制定安全防火制度及应急预案。配备消防器材。重点场所标识禁火。定期巡查，消除隐患。每年进行至少一次消防演练。</w:t>
            </w:r>
          </w:p>
          <w:p>
            <w:pP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结果：</w:t>
            </w:r>
            <w:r>
              <w:rPr>
                <w:rFonts w:hint="eastAsia" w:asciiTheme="minorEastAsia" w:hAnsiTheme="minorEastAsia" w:eastAsiaTheme="minorEastAsia" w:cstheme="minorEastAsia"/>
                <w:color w:val="auto"/>
                <w:sz w:val="21"/>
                <w:szCs w:val="21"/>
                <w:highlight w:val="none"/>
                <w:lang w:val="en-US" w:eastAsia="zh-CN"/>
              </w:rPr>
              <w:t>基本符合</w:t>
            </w:r>
          </w:p>
        </w:tc>
        <w:tc>
          <w:tcPr>
            <w:tcW w:w="655" w:type="dxa"/>
          </w:tcPr>
          <w:p>
            <w:pPr>
              <w:spacing w:line="320" w:lineRule="exact"/>
              <w:rPr>
                <w:rFonts w:hint="default"/>
                <w:lang w:val="en-US" w:eastAsia="zh-CN"/>
              </w:rPr>
            </w:pPr>
            <w:r>
              <w:rPr>
                <w:rFonts w:hint="eastAsia"/>
                <w:lang w:val="en-US" w:eastAsia="zh-CN"/>
              </w:rPr>
              <w:t>OK</w:t>
            </w:r>
          </w:p>
          <w:p>
            <w:pPr>
              <w:spacing w:line="360" w:lineRule="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vAlign w:val="top"/>
          </w:tcPr>
          <w:p>
            <w:pPr>
              <w:pStyle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lang w:val="en-US" w:eastAsia="zh-CN"/>
              </w:rPr>
              <w:t>环境和职业健康安全运行控制</w:t>
            </w:r>
          </w:p>
        </w:tc>
        <w:tc>
          <w:tcPr>
            <w:tcW w:w="1004" w:type="dxa"/>
            <w:vAlign w:val="top"/>
          </w:tcPr>
          <w:p>
            <w:pPr>
              <w:pStyle w:val="2"/>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 w:val="21"/>
                <w:szCs w:val="21"/>
                <w:highlight w:val="none"/>
                <w:lang w:val="en-US" w:eastAsia="zh-CN"/>
              </w:rPr>
              <w:t>EO8.1</w:t>
            </w:r>
          </w:p>
        </w:tc>
        <w:tc>
          <w:tcPr>
            <w:tcW w:w="11251" w:type="dxa"/>
            <w:vAlign w:val="top"/>
          </w:tcPr>
          <w:p>
            <w:pPr>
              <w:pStyle w:val="2"/>
              <w:rPr>
                <w:rFonts w:hint="eastAsia"/>
                <w:lang w:val="en-US" w:eastAsia="zh-CN"/>
              </w:rPr>
            </w:pPr>
            <w:r>
              <w:rPr>
                <w:rFonts w:hint="eastAsia"/>
                <w:lang w:val="en-US" w:eastAsia="zh-CN"/>
              </w:rPr>
              <w:t>见：监测报告，陕晟水监字(2020) 第06041号，项目名称:西咸新区城市设施管理有限公司供水站，水质检测(饮用水、废水) (2020年6月份)</w:t>
            </w:r>
          </w:p>
          <w:p>
            <w:pPr>
              <w:pStyle w:val="2"/>
              <w:rPr>
                <w:rFonts w:hint="eastAsia"/>
                <w:lang w:val="en-US" w:eastAsia="zh-CN"/>
              </w:rPr>
            </w:pPr>
            <w:r>
              <w:rPr>
                <w:rFonts w:hint="eastAsia"/>
                <w:lang w:val="en-US" w:eastAsia="zh-CN"/>
              </w:rPr>
              <w:t>委托单位:西咸新区城市设施管理有限公司，建设单位:西咸新区城市设施管理有限公司，</w:t>
            </w:r>
          </w:p>
          <w:p>
            <w:pPr>
              <w:pStyle w:val="2"/>
              <w:rPr>
                <w:rFonts w:hint="eastAsia"/>
                <w:lang w:val="en-US" w:eastAsia="zh-CN"/>
              </w:rPr>
            </w:pPr>
            <w:r>
              <w:rPr>
                <w:rFonts w:hint="eastAsia"/>
                <w:lang w:val="en-US" w:eastAsia="zh-CN"/>
              </w:rPr>
              <w:t>监测内容：</w:t>
            </w:r>
          </w:p>
          <w:p>
            <w:pPr>
              <w:pStyle w:val="2"/>
              <w:rPr>
                <w:rFonts w:hint="eastAsia"/>
                <w:lang w:val="en-US" w:eastAsia="zh-CN"/>
              </w:rPr>
            </w:pPr>
            <w:r>
              <w:rPr>
                <w:rFonts w:hint="eastAsia"/>
                <w:lang w:val="en-US" w:eastAsia="zh-CN"/>
              </w:rPr>
              <w:t>监测点位：供水口、废水池，</w:t>
            </w:r>
          </w:p>
          <w:p>
            <w:pPr>
              <w:pStyle w:val="2"/>
              <w:rPr>
                <w:rFonts w:hint="eastAsia"/>
                <w:lang w:val="en-US" w:eastAsia="zh-CN"/>
              </w:rPr>
            </w:pPr>
            <w:r>
              <w:rPr>
                <w:rFonts w:hint="eastAsia"/>
                <w:lang w:val="en-US" w:eastAsia="zh-CN"/>
              </w:rPr>
              <w:t>监测项目：总大肠菌群、耐热大肠菌群、大肠埃希氏菌、菌落总数、汞、砷、硒、氰化物、硝酸盐(以N计)、氯化物、硫酸盐、氟化物、溴酸盐、氯酸盐、亚氯酸盐、铜、锌、铅、镉、铁、锰、铝、六价铬、三氯甲烷、四氯化碳、甲醛、色度、挥发酚、阴离子合成洗涤剂、总a放射性、总β放射性等，</w:t>
            </w:r>
          </w:p>
          <w:p>
            <w:pPr>
              <w:pStyle w:val="2"/>
              <w:rPr>
                <w:rFonts w:hint="eastAsia"/>
                <w:lang w:val="en-US" w:eastAsia="zh-CN"/>
              </w:rPr>
            </w:pPr>
            <w:r>
              <w:rPr>
                <w:rFonts w:hint="eastAsia"/>
                <w:lang w:val="en-US" w:eastAsia="zh-CN"/>
              </w:rPr>
              <w:t>结论：</w:t>
            </w:r>
          </w:p>
          <w:p>
            <w:pPr>
              <w:pStyle w:val="2"/>
              <w:rPr>
                <w:rFonts w:hint="eastAsia"/>
                <w:lang w:val="en-US" w:eastAsia="zh-CN"/>
              </w:rPr>
            </w:pPr>
            <w:r>
              <w:rPr>
                <w:rFonts w:hint="eastAsia"/>
                <w:lang w:val="en-US" w:eastAsia="zh-CN"/>
              </w:rPr>
              <w:t>本次供水口水质监测结果均符合《生活饮用水卫生标准》GB 5749-2006表1水质常规指标及限值要求。</w:t>
            </w:r>
          </w:p>
          <w:p>
            <w:pPr>
              <w:pStyle w:val="2"/>
              <w:rPr>
                <w:rFonts w:hint="eastAsia"/>
                <w:lang w:val="en-US" w:eastAsia="zh-CN"/>
              </w:rPr>
            </w:pPr>
            <w:r>
              <w:rPr>
                <w:rFonts w:hint="eastAsia"/>
                <w:lang w:val="en-US" w:eastAsia="zh-CN"/>
              </w:rPr>
              <w:t>本次废水池水质中化学需氧量、总磷、悬浮物、动植物油类在《城市污水再生利用城市杂用水水质》GB/T 18920-2002中无限值要求，不进行评价;其他项目监测结果均符合《城市污水再生利用城市杂用水水质》GB/T 18920-2002表1城市杂用水水质标准中城市绿化标准限值要求。</w:t>
            </w:r>
          </w:p>
          <w:p>
            <w:pPr>
              <w:pStyle w:val="2"/>
              <w:rPr>
                <w:rFonts w:hint="eastAsia"/>
                <w:lang w:val="en-US" w:eastAsia="zh-CN"/>
              </w:rPr>
            </w:pPr>
            <w:r>
              <w:rPr>
                <w:rFonts w:hint="eastAsia"/>
                <w:lang w:val="en-US" w:eastAsia="zh-CN"/>
              </w:rPr>
              <w:t>报告日期:2020年06月30日。</w:t>
            </w:r>
          </w:p>
          <w:p>
            <w:pPr>
              <w:pStyle w:val="2"/>
              <w:rPr>
                <w:rFonts w:hint="eastAsia"/>
                <w:lang w:val="en-US" w:eastAsia="zh-CN"/>
              </w:rPr>
            </w:pPr>
            <w:r>
              <w:rPr>
                <w:rFonts w:hint="eastAsia"/>
                <w:lang w:val="en-US" w:eastAsia="zh-CN"/>
              </w:rPr>
              <w:t>另见：2020年09月27日，陕晟水监字(2020) 第09065号监测报告；2020年10月26日，陕晟水监字(2020) 第10015号监测报告；2020年11月30日，陕晟水监字(2020) 第11099号监测报告；结论均合格。详见附件。</w:t>
            </w:r>
          </w:p>
          <w:p>
            <w:pPr>
              <w:rPr>
                <w:rFonts w:hint="eastAsia"/>
                <w:lang w:val="en-US" w:eastAsia="zh-CN"/>
              </w:rPr>
            </w:pPr>
          </w:p>
          <w:p>
            <w:pPr>
              <w:numPr>
                <w:ilvl w:val="0"/>
                <w:numId w:val="0"/>
              </w:numPr>
              <w:spacing w:line="360" w:lineRule="auto"/>
              <w:ind w:leftChars="0"/>
              <w:rPr>
                <w:rFonts w:hint="eastAsia"/>
              </w:rPr>
            </w:pPr>
            <w:r>
              <w:rPr>
                <w:rFonts w:hint="eastAsia"/>
                <w:lang w:val="en-US" w:eastAsia="zh-CN"/>
              </w:rPr>
              <w:t>噪声：</w:t>
            </w:r>
            <w:r>
              <w:rPr>
                <w:rFonts w:hint="eastAsia"/>
              </w:rPr>
              <w:t>对施工人员进行培训，增强员工环保意识</w:t>
            </w:r>
            <w:r>
              <w:rPr>
                <w:rFonts w:hint="eastAsia"/>
                <w:lang w:eastAsia="zh-CN"/>
              </w:rPr>
              <w:t>；</w:t>
            </w:r>
            <w:r>
              <w:rPr>
                <w:rFonts w:hint="eastAsia"/>
              </w:rPr>
              <w:t>加强设备的维修保养</w:t>
            </w:r>
            <w:r>
              <w:rPr>
                <w:rFonts w:hint="eastAsia"/>
                <w:lang w:eastAsia="zh-CN"/>
              </w:rPr>
              <w:t>；</w:t>
            </w:r>
            <w:r>
              <w:rPr>
                <w:rFonts w:hint="eastAsia"/>
              </w:rPr>
              <w:t>夜间22点以后禁止施工。</w:t>
            </w:r>
          </w:p>
          <w:p>
            <w:pPr>
              <w:numPr>
                <w:ilvl w:val="0"/>
                <w:numId w:val="0"/>
              </w:numPr>
              <w:spacing w:line="360" w:lineRule="auto"/>
              <w:ind w:leftChars="0"/>
              <w:rPr>
                <w:rFonts w:hint="eastAsia"/>
              </w:rPr>
            </w:pPr>
            <w:r>
              <w:rPr>
                <w:rFonts w:hint="eastAsia"/>
              </w:rPr>
              <w:t>火灾</w:t>
            </w:r>
            <w:r>
              <w:rPr>
                <w:rFonts w:hint="eastAsia"/>
                <w:lang w:eastAsia="zh-CN"/>
              </w:rPr>
              <w:t>：</w:t>
            </w:r>
            <w:r>
              <w:rPr>
                <w:rFonts w:hint="eastAsia"/>
              </w:rPr>
              <w:t>易燃易爆物品必须有严格的防火措施，确定防火负责人，配备灭火器材，加强巡查</w:t>
            </w:r>
            <w:r>
              <w:rPr>
                <w:rFonts w:hint="eastAsia"/>
                <w:lang w:eastAsia="zh-CN"/>
              </w:rPr>
              <w:t>；</w:t>
            </w:r>
            <w:r>
              <w:rPr>
                <w:rFonts w:hint="eastAsia"/>
              </w:rPr>
              <w:t>施工材料的存放、使用必须符合防火要求</w:t>
            </w:r>
            <w:r>
              <w:rPr>
                <w:rFonts w:hint="eastAsia"/>
                <w:lang w:eastAsia="zh-CN"/>
              </w:rPr>
              <w:t>；</w:t>
            </w:r>
            <w:r>
              <w:rPr>
                <w:rFonts w:hint="eastAsia"/>
              </w:rPr>
              <w:t>办公区域的用电要符合防火规定</w:t>
            </w:r>
            <w:r>
              <w:rPr>
                <w:rFonts w:hint="eastAsia"/>
                <w:lang w:eastAsia="zh-CN"/>
              </w:rPr>
              <w:t>；</w:t>
            </w:r>
            <w:r>
              <w:rPr>
                <w:rFonts w:hint="eastAsia"/>
              </w:rPr>
              <w:t>制定消防预案，成立应急小组处理突发事件</w:t>
            </w:r>
            <w:r>
              <w:rPr>
                <w:rFonts w:hint="eastAsia"/>
                <w:lang w:eastAsia="zh-CN"/>
              </w:rPr>
              <w:t>；</w:t>
            </w:r>
            <w:r>
              <w:rPr>
                <w:rFonts w:hint="eastAsia"/>
              </w:rPr>
              <w:t>定期对临电设施、电线、电缆进行检修。</w:t>
            </w:r>
          </w:p>
          <w:p>
            <w:pPr>
              <w:pStyle w:val="2"/>
              <w:rPr>
                <w:rFonts w:hint="eastAsia"/>
                <w:lang w:val="en-US" w:eastAsia="zh-CN"/>
              </w:rPr>
            </w:pPr>
            <w:r>
              <w:rPr>
                <w:rFonts w:hint="eastAsia"/>
                <w:lang w:val="en-US" w:eastAsia="zh-CN"/>
              </w:rPr>
              <w:t>固废：</w:t>
            </w:r>
            <w:r>
              <w:rPr>
                <w:rFonts w:hint="eastAsia"/>
              </w:rPr>
              <w:t>对施工人员进行培训，增强员工环保意识</w:t>
            </w:r>
            <w:r>
              <w:rPr>
                <w:rFonts w:hint="eastAsia"/>
                <w:lang w:eastAsia="zh-CN"/>
              </w:rPr>
              <w:t>；</w:t>
            </w:r>
            <w:r>
              <w:rPr>
                <w:rFonts w:hint="eastAsia"/>
                <w:lang w:val="en-US" w:eastAsia="zh-CN"/>
              </w:rPr>
              <w:t>进行垃圾分类存放</w:t>
            </w:r>
          </w:p>
          <w:p>
            <w:pPr>
              <w:spacing w:line="320" w:lineRule="exact"/>
              <w:rPr>
                <w:rFonts w:hint="eastAsia"/>
              </w:rPr>
            </w:pPr>
            <w:r>
              <w:rPr>
                <w:rFonts w:hint="eastAsia"/>
              </w:rPr>
              <w:t>由综合部组织进行了</w:t>
            </w:r>
            <w:r>
              <w:rPr>
                <w:rFonts w:hint="eastAsia"/>
                <w:lang w:val="en-US" w:eastAsia="zh-CN"/>
              </w:rPr>
              <w:t>危险源</w:t>
            </w:r>
            <w:r>
              <w:rPr>
                <w:rFonts w:hint="eastAsia"/>
              </w:rPr>
              <w:t>识别评价，</w:t>
            </w:r>
            <w:r>
              <w:rPr>
                <w:rFonts w:hint="eastAsia"/>
                <w:lang w:val="en-US" w:eastAsia="zh-CN"/>
              </w:rPr>
              <w:t>查看《重大危险源清单》重大危险源有</w:t>
            </w:r>
            <w:r>
              <w:rPr>
                <w:rFonts w:hint="eastAsia"/>
              </w:rPr>
              <w:t>：</w:t>
            </w:r>
            <w:r>
              <w:rPr>
                <w:rFonts w:hint="eastAsia"/>
                <w:lang w:val="en-US" w:eastAsia="zh-CN"/>
              </w:rPr>
              <w:t>火灾</w:t>
            </w:r>
            <w:r>
              <w:rPr>
                <w:rFonts w:hint="eastAsia"/>
              </w:rPr>
              <w:t>、重大人身伤亡事故（高处作业，触电，爆炸）、轻伤事故（割伤，划伤，物体打击）等，评价准确。</w:t>
            </w:r>
          </w:p>
          <w:p>
            <w:pPr>
              <w:numPr>
                <w:ilvl w:val="0"/>
                <w:numId w:val="0"/>
              </w:numPr>
              <w:spacing w:line="360" w:lineRule="auto"/>
              <w:ind w:leftChars="0"/>
              <w:rPr>
                <w:rFonts w:hint="eastAsia"/>
                <w:lang w:val="en-US" w:eastAsia="zh-CN"/>
              </w:rPr>
            </w:pPr>
            <w:r>
              <w:rPr>
                <w:rFonts w:hint="eastAsia"/>
                <w:lang w:val="en-US" w:eastAsia="zh-CN"/>
              </w:rPr>
              <w:t>针对重大危险源制定《职业健康安全管理方案》</w:t>
            </w:r>
          </w:p>
          <w:p>
            <w:pPr>
              <w:widowControl/>
              <w:rPr>
                <w:rFonts w:hint="eastAsia"/>
              </w:rPr>
            </w:pPr>
            <w:r>
              <w:rPr>
                <w:rFonts w:hint="eastAsia"/>
              </w:rPr>
              <w:t>触电</w:t>
            </w:r>
            <w:r>
              <w:rPr>
                <w:rFonts w:hint="eastAsia"/>
                <w:lang w:eastAsia="zh-CN"/>
              </w:rPr>
              <w:t>：</w:t>
            </w:r>
            <w:r>
              <w:rPr>
                <w:rFonts w:hint="eastAsia"/>
              </w:rPr>
              <w:t>1、各类施工活动应与内、外电线保持安全距离，达不到规范规定的最小安全距离时，必须采用可靠的防护和监护措施。2、临时用电配电线必须按规范架设整齐，架空线路必须采用绝缘导线，不得采用塑胶软线。3、配电系统必须实行分级配电。</w:t>
            </w:r>
            <w:r>
              <w:rPr>
                <w:rFonts w:hint="eastAsia"/>
                <w:lang w:val="en-US" w:eastAsia="zh-CN"/>
              </w:rPr>
              <w:t>4、</w:t>
            </w:r>
            <w:r>
              <w:rPr>
                <w:rFonts w:hint="eastAsia"/>
              </w:rPr>
              <w:t>各类配电箱、开关箱外观应完整、牢固、防雨、防尘，箱体应外涂安全色标，统一编号，箱内无杂物。5、检修各类配电箱、开关箱、电气设备和电力施工机具时，必须切断电源，拆除电气连接并悬挂警示标牌。6、使用电焊机应单独设开关，电焊机外壳应做接零或接地保护。7、手持式电动工具必须采用绝缘线。</w:t>
            </w:r>
          </w:p>
          <w:p>
            <w:pPr>
              <w:pStyle w:val="2"/>
              <w:numPr>
                <w:ilvl w:val="0"/>
                <w:numId w:val="0"/>
              </w:numPr>
              <w:rPr>
                <w:rFonts w:hint="eastAsia"/>
              </w:rPr>
            </w:pPr>
            <w:r>
              <w:rPr>
                <w:rFonts w:hint="eastAsia"/>
              </w:rPr>
              <w:t>机械伤害</w:t>
            </w:r>
            <w:r>
              <w:rPr>
                <w:rFonts w:hint="eastAsia"/>
                <w:lang w:eastAsia="zh-CN"/>
              </w:rPr>
              <w:t>：</w:t>
            </w:r>
            <w:r>
              <w:rPr>
                <w:rFonts w:hint="eastAsia"/>
              </w:rPr>
              <w:t>1、施工特殊作业人员必须持证上岗。2、配备安全防护用品。3、危险区域应设立警告标志并采取现场安全措施。4、现场机械设备必须设有防护装置。5、机器设备和工具必须定期进行检修，定期进行安全操作教育。</w:t>
            </w:r>
          </w:p>
          <w:p>
            <w:pPr>
              <w:widowControl/>
              <w:rPr>
                <w:rFonts w:hint="eastAsia"/>
              </w:rPr>
            </w:pPr>
            <w:r>
              <w:rPr>
                <w:rFonts w:hint="eastAsia"/>
              </w:rPr>
              <w:t>高处坠落</w:t>
            </w:r>
            <w:r>
              <w:rPr>
                <w:rFonts w:hint="eastAsia"/>
                <w:lang w:eastAsia="zh-CN"/>
              </w:rPr>
              <w:t>：</w:t>
            </w:r>
            <w:r>
              <w:rPr>
                <w:rFonts w:hint="eastAsia"/>
              </w:rPr>
              <w:t>1、加强对作业人员的安全思想意识教育。2、制定相关的施工方案和技术安全交底。</w:t>
            </w:r>
          </w:p>
          <w:p>
            <w:pPr>
              <w:rPr>
                <w:rFonts w:hint="eastAsia"/>
              </w:rPr>
            </w:pPr>
            <w:r>
              <w:rPr>
                <w:rFonts w:hint="eastAsia"/>
              </w:rPr>
              <w:t>现场安全员按规定对作业过程进行监督检查。4、高空焊接作业时必须指派专人进行监护。5、凡在坠落高度基准面2米以上（含2米），无法采取可靠防护措施的高空作业人员必须正确使用安全带有必要时佩戴安全帽。</w:t>
            </w:r>
          </w:p>
          <w:p>
            <w:pPr>
              <w:rPr>
                <w:rFonts w:hint="eastAsia"/>
              </w:rPr>
            </w:pPr>
          </w:p>
          <w:p>
            <w:pPr>
              <w:ind w:firstLine="420" w:firstLineChars="200"/>
              <w:rPr>
                <w:rFonts w:hint="eastAsia"/>
              </w:rPr>
            </w:pPr>
            <w:r>
              <w:rPr>
                <w:rFonts w:hint="eastAsia"/>
              </w:rPr>
              <w:t xml:space="preserve">安全设施及验收：进入施工现场或进入工作岗位的人员均已按要求穿戴施工防护设施，如手套、工作服等。设置了“安全第一”、“文明施工”、警示标志、标语；查劳动防护用品发放记录：共配置劳保手套、口罩等劳动防护用品，有劳保用品的发放记录。 </w:t>
            </w:r>
          </w:p>
          <w:p>
            <w:pPr>
              <w:ind w:firstLine="420" w:firstLineChars="200"/>
              <w:rPr>
                <w:rFonts w:hint="eastAsia"/>
              </w:rPr>
            </w:pPr>
            <w:r>
              <w:rPr>
                <w:rFonts w:hint="eastAsia"/>
              </w:rPr>
              <w:t>提供了该项目部的《安全设施（器材、用品）、急救器材、卫生防护用品清单》，</w:t>
            </w:r>
            <w:r>
              <w:rPr>
                <w:rFonts w:hint="eastAsia"/>
                <w:lang w:val="en-US" w:eastAsia="zh-CN"/>
              </w:rPr>
              <w:t>明确所用的安全设施与急救器材，确保能够及时提供及时补货。</w:t>
            </w:r>
            <w:r>
              <w:rPr>
                <w:rFonts w:hint="eastAsia"/>
              </w:rPr>
              <w:t>为项目施工人员缴纳工伤集体险等。</w:t>
            </w:r>
          </w:p>
          <w:p>
            <w:pPr>
              <w:ind w:firstLine="420" w:firstLineChars="200"/>
              <w:rPr>
                <w:rFonts w:hint="eastAsia"/>
              </w:rPr>
            </w:pPr>
            <w:r>
              <w:rPr>
                <w:rFonts w:hint="eastAsia"/>
              </w:rPr>
              <w:t>安全教育：安全员在各分部分项工程开工前均对施工班组进行安全技术交底，有记录及签字。抽查：安全技术交底记录，有交底人、被交底人签字。进行了三级安全教育。提供安全教育卡。</w:t>
            </w:r>
          </w:p>
          <w:p>
            <w:pPr>
              <w:ind w:firstLine="420" w:firstLineChars="200"/>
              <w:rPr>
                <w:rFonts w:hint="eastAsia"/>
                <w:lang w:val="en-US" w:eastAsia="zh-CN"/>
              </w:rPr>
            </w:pPr>
            <w:r>
              <w:rPr>
                <w:rFonts w:hint="eastAsia"/>
                <w:lang w:val="en-US" w:eastAsia="zh-CN"/>
              </w:rPr>
              <w:t>提供《应急预案》</w:t>
            </w:r>
            <w:r>
              <w:rPr>
                <w:rFonts w:hint="eastAsia"/>
              </w:rPr>
              <w:t>制定了</w:t>
            </w:r>
            <w:r>
              <w:rPr>
                <w:rFonts w:hint="eastAsia"/>
                <w:lang w:val="en-US" w:eastAsia="zh-CN"/>
              </w:rPr>
              <w:t>火灾</w:t>
            </w:r>
            <w:r>
              <w:rPr>
                <w:rFonts w:hint="eastAsia"/>
              </w:rPr>
              <w:t>应急预案并进行演练</w:t>
            </w:r>
            <w:r>
              <w:rPr>
                <w:rFonts w:hint="eastAsia"/>
                <w:lang w:eastAsia="zh-CN"/>
              </w:rPr>
              <w:t>，触电伤亡事故应急预案、机械人员伤亡事故预案、突发传染性疾病应急预案</w:t>
            </w:r>
            <w:r>
              <w:rPr>
                <w:rFonts w:hint="eastAsia"/>
                <w:lang w:val="en-US" w:eastAsia="zh-CN"/>
              </w:rPr>
              <w:t>等等</w:t>
            </w:r>
          </w:p>
          <w:p>
            <w:pPr>
              <w:spacing w:line="360" w:lineRule="auto"/>
              <w:ind w:firstLine="420" w:firstLineChars="200"/>
              <w:rPr>
                <w:rFonts w:hint="eastAsia"/>
              </w:rPr>
            </w:pPr>
            <w:r>
              <w:rPr>
                <w:rFonts w:hint="eastAsia"/>
                <w:lang w:val="en-US" w:eastAsia="zh-CN"/>
              </w:rPr>
              <w:t>查《</w:t>
            </w:r>
            <w:r>
              <w:rPr>
                <w:rFonts w:hint="eastAsia"/>
              </w:rPr>
              <w:t>消防及应急设施检查表</w:t>
            </w:r>
            <w:r>
              <w:rPr>
                <w:rFonts w:hint="eastAsia"/>
                <w:lang w:eastAsia="zh-CN"/>
              </w:rPr>
              <w:t>》</w:t>
            </w:r>
            <w:r>
              <w:rPr>
                <w:rFonts w:hint="eastAsia"/>
              </w:rPr>
              <w:t>（20</w:t>
            </w:r>
            <w:r>
              <w:rPr>
                <w:rFonts w:hint="eastAsia"/>
                <w:lang w:val="en-US" w:eastAsia="zh-CN"/>
              </w:rPr>
              <w:t>20</w:t>
            </w:r>
            <w:r>
              <w:rPr>
                <w:rFonts w:hint="eastAsia"/>
              </w:rPr>
              <w:t>年</w:t>
            </w:r>
            <w:r>
              <w:rPr>
                <w:rFonts w:hint="eastAsia"/>
                <w:lang w:val="en-US" w:eastAsia="zh-CN"/>
              </w:rPr>
              <w:t>10</w:t>
            </w:r>
            <w:r>
              <w:rPr>
                <w:rFonts w:hint="eastAsia"/>
              </w:rPr>
              <w:t>-1</w:t>
            </w:r>
            <w:r>
              <w:rPr>
                <w:rFonts w:hint="eastAsia"/>
                <w:lang w:val="en-US" w:eastAsia="zh-CN"/>
              </w:rPr>
              <w:t>2</w:t>
            </w:r>
            <w:r>
              <w:rPr>
                <w:rFonts w:hint="eastAsia"/>
              </w:rPr>
              <w:t>月）其中记录了检查内容：</w:t>
            </w:r>
            <w:r>
              <w:rPr>
                <w:rFonts w:hint="eastAsia"/>
                <w:lang w:val="en-US" w:eastAsia="zh-CN"/>
              </w:rPr>
              <w:t>灭火器、消防栓和指示牌等安全设备的状态，检查结果良好</w:t>
            </w:r>
            <w:r>
              <w:rPr>
                <w:rFonts w:hint="eastAsia"/>
              </w:rPr>
              <w:t xml:space="preserve">    </w:t>
            </w:r>
          </w:p>
          <w:p>
            <w:pPr>
              <w:spacing w:line="360" w:lineRule="auto"/>
              <w:ind w:firstLine="420" w:firstLineChars="200"/>
              <w:rPr>
                <w:rFonts w:hint="eastAsia"/>
              </w:rPr>
            </w:pPr>
            <w:r>
              <w:rPr>
                <w:rFonts w:hint="eastAsia"/>
              </w:rPr>
              <w:t>查到：《安全检查记录表》（20</w:t>
            </w:r>
            <w:r>
              <w:rPr>
                <w:rFonts w:hint="eastAsia"/>
                <w:lang w:val="en-US" w:eastAsia="zh-CN"/>
              </w:rPr>
              <w:t>20</w:t>
            </w:r>
            <w:r>
              <w:rPr>
                <w:rFonts w:hint="eastAsia"/>
              </w:rPr>
              <w:t>年</w:t>
            </w:r>
            <w:r>
              <w:rPr>
                <w:rFonts w:hint="eastAsia"/>
                <w:lang w:val="en-US" w:eastAsia="zh-CN"/>
              </w:rPr>
              <w:t>10</w:t>
            </w:r>
            <w:r>
              <w:rPr>
                <w:rFonts w:hint="eastAsia"/>
              </w:rPr>
              <w:t>-1</w:t>
            </w:r>
            <w:r>
              <w:rPr>
                <w:rFonts w:hint="eastAsia"/>
                <w:lang w:val="en-US" w:eastAsia="zh-CN"/>
              </w:rPr>
              <w:t>2</w:t>
            </w:r>
            <w:r>
              <w:rPr>
                <w:rFonts w:hint="eastAsia"/>
              </w:rPr>
              <w:t>月），已按策划实施了监视和测量，其中记录了检查内容：现场管理情况；固废清理、排放情况</w:t>
            </w:r>
            <w:r>
              <w:rPr>
                <w:rFonts w:hint="eastAsia"/>
                <w:lang w:val="en-US" w:eastAsia="zh-CN"/>
              </w:rPr>
              <w:t>,</w:t>
            </w:r>
            <w:r>
              <w:rPr>
                <w:rFonts w:hint="eastAsia"/>
              </w:rPr>
              <w:t>现场安全防护,人员的安全防护用品的配备和使用、施工现场的安全隔离、发现问题、处理情况。基本符合。</w:t>
            </w:r>
          </w:p>
          <w:p>
            <w:pPr>
              <w:ind w:firstLine="420"/>
              <w:rPr>
                <w:rFonts w:hint="eastAsia"/>
              </w:rPr>
            </w:pPr>
            <w:r>
              <w:rPr>
                <w:rFonts w:hint="eastAsia"/>
              </w:rPr>
              <w:t>无使用童工现象，对机械员等的定期体检，本年度</w:t>
            </w:r>
            <w:r>
              <w:rPr>
                <w:rFonts w:hint="eastAsia"/>
                <w:lang w:val="en-US" w:eastAsia="zh-CN"/>
              </w:rPr>
              <w:t>已经进行了体检</w:t>
            </w:r>
            <w:r>
              <w:rPr>
                <w:rFonts w:hint="eastAsia"/>
              </w:rPr>
              <w:t>。</w:t>
            </w:r>
          </w:p>
          <w:p>
            <w:pPr>
              <w:pStyle w:val="2"/>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环保设施和安全设施的管理由综合部负责，环保设施的检查及运行相关记录见综合部审核记录。运营管理部负责使用和设备的维护。</w:t>
            </w:r>
          </w:p>
          <w:p>
            <w:pPr>
              <w:pStyle w:val="2"/>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提供《设备维护保养计划表》2020年，包括：设备名称、型号规格、安装地点、维护保养周期、维护时间安排、维护执行部门等内容，对26台主要设备编制了维护计划。</w:t>
            </w:r>
          </w:p>
          <w:p>
            <w:pPr>
              <w:pStyle w:val="2"/>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提供《设备维护保养记录》</w:t>
            </w:r>
            <w:r>
              <w:rPr>
                <w:rFonts w:hint="eastAsia" w:cs="Times New Roman"/>
                <w:szCs w:val="22"/>
                <w:lang w:val="en-US" w:eastAsia="zh-CN"/>
              </w:rPr>
              <w:t>，抽查如下：</w:t>
            </w:r>
          </w:p>
          <w:p>
            <w:pPr>
              <w:pStyle w:val="2"/>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设备名称：原水井提升泵；时间安排2020.8.25；承担部门：运营管理部（供水站）；检查内容：原水井是否有大块物质进入设备，以免堵塞管道与孔口致使水泵损坏；设备人孔必须盖好，以免发生意外或掉入大块固体物质；水泵运转是否正常；风机机油是否需要更换；皮带的松紧程度；进入设备污水的PH值是否在6-9 之间（PH计测试）；更换内容：更换机油；更换进水阀门。试运转情况：试运转正常，无异常情况；维护保养人：张冕、雒新峰，验收：李航泊，2020年8月25日。</w:t>
            </w:r>
          </w:p>
          <w:p>
            <w:pPr>
              <w:pStyle w:val="2"/>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设备名称：碳滤罐；时间安排2020.6.8三个月（2020.6.8；2020.9.5；2020.12.1）；承担部门：运营管理部（供水站）；检查内容：灯管；活性炭；水泵运行情况；风管密封性；维护要点：检查灯管是否有损坏；检查活性炭是否需要更换；检查电机是否有异响，是否需要润滑；检查管道连接处是否漏气。更换内容：灯管及活性炭完好，无需更换；维护保养人：梁伟、张恒，验收：张涛，2020年6月8日，</w:t>
            </w:r>
          </w:p>
          <w:p>
            <w:pPr>
              <w:pStyle w:val="2"/>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其他两次检查记录略。</w:t>
            </w:r>
          </w:p>
          <w:p>
            <w:pPr>
              <w:pStyle w:val="2"/>
              <w:rPr>
                <w:rFonts w:hint="eastAsia"/>
                <w:lang w:val="en-US" w:eastAsia="zh-CN"/>
              </w:rPr>
            </w:pPr>
            <w:r>
              <w:rPr>
                <w:rFonts w:hint="eastAsia" w:ascii="Times New Roman" w:hAnsi="Times New Roman" w:cs="Times New Roman"/>
                <w:szCs w:val="22"/>
                <w:lang w:val="en-US" w:eastAsia="zh-CN"/>
              </w:rPr>
              <w:t>另查：反渗透设备维护检查记录，基本符合要求。</w:t>
            </w:r>
          </w:p>
        </w:tc>
        <w:tc>
          <w:tcPr>
            <w:tcW w:w="655" w:type="dxa"/>
          </w:tcPr>
          <w:p>
            <w:pPr>
              <w:spacing w:line="320" w:lineRule="exact"/>
              <w:rPr>
                <w:rFonts w:hint="default"/>
                <w:lang w:val="en-US" w:eastAsia="zh-CN"/>
              </w:rPr>
            </w:pPr>
            <w:r>
              <w:rPr>
                <w:rFonts w:hint="eastAsia"/>
                <w:lang w:val="en-US" w:eastAsia="zh-CN"/>
              </w:rPr>
              <w:t>OK</w:t>
            </w:r>
          </w:p>
          <w:p>
            <w:pPr>
              <w:spacing w:line="360" w:lineRule="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highlight w:val="none"/>
                <w:lang w:val="en-US" w:eastAsia="zh-CN"/>
              </w:rPr>
              <w:t>应急准备和响应</w:t>
            </w:r>
          </w:p>
        </w:tc>
        <w:tc>
          <w:tcPr>
            <w:tcW w:w="1004" w:type="dxa"/>
            <w:vAlign w:val="top"/>
          </w:tcPr>
          <w:p>
            <w:pP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 w:val="21"/>
                <w:szCs w:val="21"/>
                <w:highlight w:val="none"/>
                <w:lang w:val="en-US" w:eastAsia="zh-CN"/>
              </w:rPr>
              <w:t>EO8.2</w:t>
            </w:r>
          </w:p>
        </w:tc>
        <w:tc>
          <w:tcPr>
            <w:tcW w:w="11251" w:type="dxa"/>
            <w:vAlign w:val="top"/>
          </w:tcPr>
          <w:p>
            <w:pPr>
              <w:rPr>
                <w:rFonts w:hint="eastAsia"/>
                <w:lang w:val="en-US" w:eastAsia="zh-CN"/>
              </w:rPr>
            </w:pPr>
            <w:r>
              <w:rPr>
                <w:rFonts w:hint="eastAsia"/>
                <w:lang w:val="en-US" w:eastAsia="zh-CN"/>
              </w:rPr>
              <w:t>编制了</w:t>
            </w:r>
            <w:r>
              <w:rPr>
                <w:rFonts w:hint="eastAsia"/>
              </w:rPr>
              <w:t>应急准备和响应控制</w:t>
            </w:r>
            <w:r>
              <w:rPr>
                <w:rFonts w:hint="eastAsia"/>
                <w:lang w:val="en-US" w:eastAsia="zh-CN"/>
              </w:rPr>
              <w:t>程序，</w:t>
            </w:r>
          </w:p>
          <w:p>
            <w:pPr>
              <w:jc w:val="left"/>
              <w:rPr>
                <w:rFonts w:hint="eastAsia"/>
                <w:lang w:val="en-US" w:eastAsia="zh-CN"/>
              </w:rPr>
            </w:pPr>
            <w:r>
              <w:rPr>
                <w:rFonts w:hint="eastAsia"/>
                <w:lang w:val="en-US" w:eastAsia="zh-CN"/>
              </w:rPr>
              <w:t>提供火灾应急事故预案；施工现场高处坠落、机械伤害、物体打击应急救援预案；触电事故应急预案等，包括：应急目的、内容职责、应急响应流程等。</w:t>
            </w:r>
          </w:p>
          <w:p>
            <w:pPr>
              <w:rPr>
                <w:rFonts w:hint="eastAsia"/>
                <w:lang w:val="en-US" w:eastAsia="zh-CN"/>
              </w:rPr>
            </w:pPr>
            <w:r>
              <w:rPr>
                <w:rFonts w:hint="eastAsia"/>
                <w:lang w:val="en-US" w:eastAsia="zh-CN"/>
              </w:rPr>
              <w:t>抽查：</w:t>
            </w:r>
          </w:p>
          <w:p>
            <w:pPr>
              <w:rPr>
                <w:rFonts w:hint="eastAsia"/>
                <w:lang w:val="en-US" w:eastAsia="zh-CN"/>
              </w:rPr>
            </w:pPr>
            <w:r>
              <w:rPr>
                <w:rFonts w:hint="eastAsia"/>
                <w:lang w:val="en-US" w:eastAsia="zh-CN"/>
              </w:rPr>
              <w:t>应急演练（火灾）记录，演练时间2020年5月19日，指挥人员：薛宇航，</w:t>
            </w:r>
          </w:p>
          <w:p>
            <w:pPr>
              <w:rPr>
                <w:rFonts w:hint="eastAsia"/>
                <w:lang w:val="en-US" w:eastAsia="zh-CN"/>
              </w:rPr>
            </w:pPr>
            <w:r>
              <w:rPr>
                <w:rFonts w:hint="eastAsia"/>
                <w:lang w:val="en-US" w:eastAsia="zh-CN"/>
              </w:rPr>
              <w:t>参加人员：综合部、运营管理部、财务部共计25人</w:t>
            </w:r>
          </w:p>
          <w:p>
            <w:pPr>
              <w:rPr>
                <w:rFonts w:hint="eastAsia"/>
                <w:lang w:val="en-US" w:eastAsia="zh-CN"/>
              </w:rPr>
            </w:pPr>
            <w:r>
              <w:rPr>
                <w:rFonts w:hint="eastAsia"/>
                <w:lang w:val="en-US" w:eastAsia="zh-CN"/>
              </w:rPr>
              <w:t>消防器材：灭火器6瓶、消防水带3卷、斧头1把、枪头2个、三分头1个、扳手、消防服装（2套）、水鞋2双，</w:t>
            </w:r>
          </w:p>
          <w:p>
            <w:pPr>
              <w:rPr>
                <w:rFonts w:hint="eastAsia"/>
                <w:lang w:val="en-US" w:eastAsia="zh-CN"/>
              </w:rPr>
            </w:pPr>
            <w:r>
              <w:rPr>
                <w:rFonts w:hint="eastAsia"/>
                <w:lang w:val="en-US" w:eastAsia="zh-CN"/>
              </w:rPr>
              <w:t>有演习情况记录和</w:t>
            </w:r>
            <w:r>
              <w:rPr>
                <w:rFonts w:hint="eastAsia" w:ascii="Times New Roman" w:hAnsi="Times New Roman" w:cs="Times New Roman"/>
                <w:szCs w:val="22"/>
                <w:lang w:val="en-US" w:eastAsia="zh-CN"/>
              </w:rPr>
              <w:t>总结，并对演练预案进行了评估，满足应急预案。</w:t>
            </w:r>
          </w:p>
          <w:p>
            <w:pPr>
              <w:pStyle w:val="2"/>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另查：2020年5月18日触电应急</w:t>
            </w:r>
            <w:r>
              <w:rPr>
                <w:rFonts w:hint="eastAsia" w:ascii="Times New Roman" w:hAnsi="Times New Roman" w:cs="Times New Roman"/>
                <w:bCs w:val="0"/>
                <w:spacing w:val="0"/>
                <w:kern w:val="2"/>
                <w:sz w:val="21"/>
                <w:szCs w:val="22"/>
                <w:lang w:val="en-US" w:eastAsia="zh-CN" w:bidi="ar-SA"/>
              </w:rPr>
              <w:t>演练</w:t>
            </w:r>
            <w:r>
              <w:rPr>
                <w:rFonts w:hint="eastAsia" w:ascii="Times New Roman" w:hAnsi="Times New Roman" w:eastAsia="宋体" w:cs="Times New Roman"/>
                <w:bCs w:val="0"/>
                <w:spacing w:val="0"/>
                <w:kern w:val="2"/>
                <w:sz w:val="21"/>
                <w:szCs w:val="22"/>
                <w:lang w:val="en-US" w:eastAsia="zh-CN" w:bidi="ar-SA"/>
              </w:rPr>
              <w:t>，</w:t>
            </w:r>
            <w:r>
              <w:rPr>
                <w:rFonts w:hint="eastAsia"/>
                <w:lang w:val="en-US" w:eastAsia="zh-CN"/>
              </w:rPr>
              <w:t>指挥人员：</w:t>
            </w:r>
            <w:r>
              <w:rPr>
                <w:rFonts w:hint="eastAsia" w:ascii="Times New Roman" w:hAnsi="Times New Roman" w:eastAsia="宋体" w:cs="Times New Roman"/>
                <w:bCs w:val="0"/>
                <w:spacing w:val="0"/>
                <w:kern w:val="2"/>
                <w:sz w:val="21"/>
                <w:szCs w:val="22"/>
                <w:lang w:val="en-US" w:eastAsia="zh-CN" w:bidi="ar-SA"/>
              </w:rPr>
              <w:t>高翡，演练</w:t>
            </w:r>
            <w:r>
              <w:rPr>
                <w:rFonts w:hint="eastAsia" w:ascii="Times New Roman" w:hAnsi="Times New Roman" w:cs="Times New Roman"/>
                <w:bCs w:val="0"/>
                <w:spacing w:val="0"/>
                <w:kern w:val="2"/>
                <w:sz w:val="21"/>
                <w:szCs w:val="22"/>
                <w:lang w:val="en-US" w:eastAsia="zh-CN" w:bidi="ar-SA"/>
              </w:rPr>
              <w:t>结论：</w:t>
            </w:r>
            <w:r>
              <w:rPr>
                <w:rFonts w:hint="eastAsia" w:ascii="Times New Roman" w:hAnsi="Times New Roman" w:eastAsia="宋体" w:cs="Times New Roman"/>
                <w:bCs w:val="0"/>
                <w:spacing w:val="0"/>
                <w:kern w:val="2"/>
                <w:sz w:val="21"/>
                <w:szCs w:val="22"/>
                <w:lang w:val="en-US" w:eastAsia="zh-CN" w:bidi="ar-SA"/>
              </w:rPr>
              <w:t>基本达到演练目的。</w:t>
            </w:r>
          </w:p>
          <w:p>
            <w:pPr>
              <w:pStyle w:val="2"/>
              <w:rPr>
                <w:rFonts w:hint="eastAsia" w:ascii="Times New Roman" w:hAnsi="Times New Roman" w:cs="Times New Roman"/>
                <w:bCs w:val="0"/>
                <w:spacing w:val="0"/>
                <w:kern w:val="2"/>
                <w:sz w:val="21"/>
                <w:szCs w:val="22"/>
                <w:lang w:val="en-US" w:eastAsia="zh-CN" w:bidi="ar-SA"/>
              </w:rPr>
            </w:pPr>
            <w:r>
              <w:rPr>
                <w:rFonts w:hint="eastAsia" w:ascii="Times New Roman" w:hAnsi="Times New Roman" w:cs="Times New Roman"/>
                <w:bCs w:val="0"/>
                <w:spacing w:val="0"/>
                <w:kern w:val="2"/>
                <w:sz w:val="21"/>
                <w:szCs w:val="22"/>
                <w:lang w:val="en-US" w:eastAsia="zh-CN" w:bidi="ar-SA"/>
              </w:rPr>
              <w:t>预案评估：</w:t>
            </w:r>
            <w:r>
              <w:rPr>
                <w:rFonts w:hint="eastAsia" w:ascii="Times New Roman" w:hAnsi="Times New Roman" w:eastAsia="宋体" w:cs="Times New Roman"/>
                <w:bCs w:val="0"/>
                <w:spacing w:val="0"/>
                <w:kern w:val="2"/>
                <w:sz w:val="21"/>
                <w:szCs w:val="22"/>
                <w:lang w:val="en-US" w:eastAsia="zh-CN" w:bidi="ar-SA"/>
              </w:rPr>
              <w:t>进一步完善和修改《触电应急救援预案》</w:t>
            </w:r>
            <w:r>
              <w:rPr>
                <w:rFonts w:hint="eastAsia" w:ascii="Times New Roman" w:hAnsi="Times New Roman" w:cs="Times New Roman"/>
                <w:bCs w:val="0"/>
                <w:spacing w:val="0"/>
                <w:kern w:val="2"/>
                <w:sz w:val="21"/>
                <w:szCs w:val="22"/>
                <w:lang w:val="en-US" w:eastAsia="zh-CN" w:bidi="ar-SA"/>
              </w:rPr>
              <w:t>，</w:t>
            </w:r>
            <w:r>
              <w:rPr>
                <w:rFonts w:hint="eastAsia" w:ascii="Times New Roman" w:hAnsi="Times New Roman" w:eastAsia="宋体" w:cs="Times New Roman"/>
                <w:bCs w:val="0"/>
                <w:spacing w:val="0"/>
                <w:kern w:val="2"/>
                <w:sz w:val="21"/>
                <w:szCs w:val="22"/>
                <w:lang w:val="en-US" w:eastAsia="zh-CN" w:bidi="ar-SA"/>
              </w:rPr>
              <w:t>认真抓好员工安全教育培训，开展技能练兵，使施工人员从理论实践中增长安全技能，提高安全意识。加强安全管理力度，建立健全和完善各项规章制度</w:t>
            </w:r>
            <w:r>
              <w:rPr>
                <w:rFonts w:hint="eastAsia" w:ascii="Times New Roman" w:hAnsi="Times New Roman" w:cs="Times New Roman"/>
                <w:bCs w:val="0"/>
                <w:spacing w:val="0"/>
                <w:kern w:val="2"/>
                <w:sz w:val="21"/>
                <w:szCs w:val="22"/>
                <w:lang w:val="en-US" w:eastAsia="zh-CN" w:bidi="ar-SA"/>
              </w:rPr>
              <w:t>。</w:t>
            </w:r>
          </w:p>
        </w:tc>
        <w:tc>
          <w:tcPr>
            <w:tcW w:w="655" w:type="dxa"/>
          </w:tcPr>
          <w:p>
            <w:pPr>
              <w:spacing w:line="320" w:lineRule="exact"/>
              <w:rPr>
                <w:rFonts w:hint="default"/>
                <w:lang w:val="en-US" w:eastAsia="zh-CN"/>
              </w:rPr>
            </w:pPr>
            <w:r>
              <w:rPr>
                <w:rFonts w:hint="eastAsia"/>
                <w:lang w:val="en-US" w:eastAsia="zh-CN"/>
              </w:rPr>
              <w:t>OK</w:t>
            </w:r>
          </w:p>
          <w:p>
            <w:pPr>
              <w:spacing w:line="360" w:lineRule="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vAlign w:val="top"/>
          </w:tcPr>
          <w:p>
            <w:pPr>
              <w:rPr>
                <w:rFonts w:hint="eastAsia"/>
              </w:rPr>
            </w:pPr>
            <w:r>
              <w:rPr>
                <w:rFonts w:hint="eastAsia"/>
              </w:rPr>
              <w:t>监视、测量、分析、评价</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投诉或事故/政府主管部门监督抽查情况</w:t>
            </w:r>
          </w:p>
        </w:tc>
        <w:tc>
          <w:tcPr>
            <w:tcW w:w="1004" w:type="dxa"/>
            <w:vAlign w:val="top"/>
          </w:tcPr>
          <w:p>
            <w:pPr>
              <w:rPr>
                <w:rFonts w:hint="eastAsia" w:ascii="Times New Roman" w:hAnsi="Times New Roman" w:cs="Times New Roman"/>
                <w:szCs w:val="22"/>
              </w:rPr>
            </w:pPr>
            <w:r>
              <w:rPr>
                <w:rFonts w:hint="eastAsia" w:ascii="Times New Roman" w:hAnsi="Times New Roman" w:cs="Times New Roman"/>
                <w:szCs w:val="22"/>
              </w:rPr>
              <w:t>QEO9.1</w:t>
            </w:r>
          </w:p>
          <w:p>
            <w:pPr>
              <w:rPr>
                <w:rFonts w:hint="eastAsia" w:ascii="Times New Roman" w:hAnsi="Times New Roman" w:cs="Times New Roman"/>
                <w:szCs w:val="22"/>
              </w:rPr>
            </w:pPr>
          </w:p>
        </w:tc>
        <w:tc>
          <w:tcPr>
            <w:tcW w:w="11251" w:type="dxa"/>
            <w:vAlign w:val="top"/>
          </w:tcPr>
          <w:p>
            <w:pPr>
              <w:rPr>
                <w:rFonts w:hint="eastAsia" w:ascii="Times New Roman" w:hAnsi="Times New Roman" w:cs="Times New Roman"/>
                <w:szCs w:val="22"/>
              </w:rPr>
            </w:pPr>
            <w:r>
              <w:rPr>
                <w:rFonts w:hint="eastAsia" w:ascii="Times New Roman" w:hAnsi="Times New Roman" w:cs="Times New Roman"/>
                <w:szCs w:val="22"/>
              </w:rPr>
              <w:t>1、 查到《质量手册》，规定了有关数据分析评价的内容，符合标准要求。</w:t>
            </w:r>
          </w:p>
          <w:p>
            <w:pPr>
              <w:rPr>
                <w:rFonts w:hint="eastAsia" w:ascii="Times New Roman" w:hAnsi="Times New Roman" w:cs="Times New Roman"/>
                <w:szCs w:val="22"/>
              </w:rPr>
            </w:pPr>
            <w:r>
              <w:rPr>
                <w:rFonts w:hint="eastAsia" w:ascii="Times New Roman" w:hAnsi="Times New Roman" w:cs="Times New Roman"/>
                <w:szCs w:val="22"/>
              </w:rPr>
              <w:t xml:space="preserve">    对数据分析评价的方法和内容进行规定。常用数据分析方法主要有直方图、因果分析、鱼刺图、排列图、对策表等法。所收集信息包括材料供方、顾客满意率、产品质量等。</w:t>
            </w:r>
          </w:p>
          <w:p>
            <w:pPr>
              <w:rPr>
                <w:rFonts w:hint="eastAsia" w:ascii="Times New Roman" w:hAnsi="Times New Roman" w:cs="Times New Roman"/>
                <w:szCs w:val="22"/>
              </w:rPr>
            </w:pPr>
            <w:r>
              <w:rPr>
                <w:rFonts w:hint="eastAsia" w:ascii="Times New Roman" w:hAnsi="Times New Roman" w:cs="Times New Roman"/>
                <w:szCs w:val="22"/>
              </w:rPr>
              <w:t>2、 对产品的质量情况、顾客满意度情况、体系的绩效和有效性、措施的有效性、外部供方的绩效、改进需求等进行数据总结，采用直方图、因果分析、鱼刺图、排列图、对策表等方法进行分析。</w:t>
            </w:r>
          </w:p>
          <w:p>
            <w:pPr>
              <w:rPr>
                <w:rFonts w:hint="eastAsia" w:ascii="Times New Roman" w:hAnsi="Times New Roman" w:cs="Times New Roman"/>
                <w:szCs w:val="22"/>
              </w:rPr>
            </w:pPr>
            <w:r>
              <w:rPr>
                <w:rFonts w:hint="eastAsia" w:ascii="Times New Roman" w:hAnsi="Times New Roman" w:cs="Times New Roman"/>
                <w:szCs w:val="22"/>
              </w:rPr>
              <w:t xml:space="preserve">    查到目标指标的完成情况，形成了相关的材料证实，并输入到了管理评审中。</w:t>
            </w:r>
          </w:p>
          <w:p>
            <w:pPr>
              <w:rPr>
                <w:rFonts w:hint="eastAsia" w:ascii="Times New Roman" w:hAnsi="Times New Roman" w:cs="Times New Roman"/>
                <w:szCs w:val="22"/>
              </w:rPr>
            </w:pPr>
            <w:r>
              <w:rPr>
                <w:rFonts w:hint="eastAsia" w:ascii="Times New Roman" w:hAnsi="Times New Roman" w:cs="Times New Roman"/>
                <w:szCs w:val="22"/>
              </w:rPr>
              <w:t>以上统计技术的应用和数据分析的实施情况证实，基本符合标准要求，均实施了有效性的评价，通过数据分析，为质量管理体系有关过程的改进提供机会。</w:t>
            </w:r>
          </w:p>
          <w:p>
            <w:pPr>
              <w:rPr>
                <w:rFonts w:hint="eastAsia" w:ascii="Times New Roman" w:hAnsi="Times New Roman" w:cs="Times New Roman"/>
                <w:szCs w:val="22"/>
              </w:rPr>
            </w:pP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企业自QEO管理体系运行以来未发生质量投诉事件。</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未发生环境污染和环境违规处罚</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未发生安全事故，未出现职业健康伤害；</w:t>
            </w:r>
          </w:p>
          <w:p>
            <w:pPr>
              <w:rPr>
                <w:rFonts w:hint="eastAsia" w:ascii="Times New Roman" w:hAnsi="Times New Roman" w:cs="Times New Roman"/>
                <w:szCs w:val="22"/>
              </w:rPr>
            </w:pPr>
            <w:r>
              <w:rPr>
                <w:rFonts w:hint="eastAsia" w:ascii="Times New Roman" w:hAnsi="Times New Roman" w:cs="Times New Roman"/>
                <w:szCs w:val="22"/>
                <w:lang w:val="en-US" w:eastAsia="zh-CN"/>
              </w:rPr>
              <w:t>地方政府对产品质量抽检情况：企业介绍：接受地方政府抽检，但未給企业抽检报告。</w:t>
            </w:r>
          </w:p>
        </w:tc>
        <w:tc>
          <w:tcPr>
            <w:tcW w:w="655" w:type="dxa"/>
          </w:tcPr>
          <w:p>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799" w:type="dxa"/>
            <w:tcBorders>
              <w:bottom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改进</w:t>
            </w:r>
          </w:p>
          <w:p>
            <w:pPr>
              <w:rPr>
                <w:rFonts w:hint="eastAsia" w:asciiTheme="minorEastAsia" w:hAnsiTheme="minorEastAsia" w:eastAsiaTheme="minorEastAsia" w:cstheme="minorEastAsia"/>
                <w:color w:val="auto"/>
                <w:sz w:val="21"/>
                <w:szCs w:val="21"/>
                <w:lang w:eastAsia="zh-CN"/>
              </w:rPr>
            </w:pPr>
          </w:p>
        </w:tc>
        <w:tc>
          <w:tcPr>
            <w:tcW w:w="1004" w:type="dxa"/>
            <w:tcBorders>
              <w:bottom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Q/O</w:t>
            </w:r>
            <w:r>
              <w:rPr>
                <w:rFonts w:hint="eastAsia" w:asciiTheme="minorEastAsia" w:hAnsiTheme="minorEastAsia" w:eastAsiaTheme="minorEastAsia" w:cstheme="minorEastAsia"/>
                <w:sz w:val="21"/>
                <w:szCs w:val="21"/>
              </w:rPr>
              <w:t>：10.1，10.3</w:t>
            </w:r>
          </w:p>
          <w:p>
            <w:pPr>
              <w:rPr>
                <w:rFonts w:hint="eastAsia" w:asciiTheme="minorEastAsia" w:hAnsiTheme="minorEastAsia" w:eastAsiaTheme="minorEastAsia" w:cstheme="minorEastAsia"/>
                <w:color w:val="auto"/>
                <w:sz w:val="21"/>
                <w:szCs w:val="21"/>
                <w:lang w:val="en-US" w:eastAsia="zh-CN"/>
              </w:rPr>
            </w:pPr>
          </w:p>
        </w:tc>
        <w:tc>
          <w:tcPr>
            <w:tcW w:w="11251" w:type="dxa"/>
            <w:tcBorders>
              <w:bottom w:val="single" w:color="auto" w:sz="4" w:space="0"/>
            </w:tcBorders>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者代表根据总经理意图组织持续改进过程的策划要求由总经办实施持续改进过程的管理。公司管理体系运行的持续改进，是通过方针、目标、管理方案的制定与实施，通过内外部的审核结果，管理评审的开展，分析和评价结果、纠正预防措施的实施，促进管理体系的持续改进。并通过对各项工作的考核，不断提出改进要求，全员的管理、环保、职业健康意识、安全意识有较大的提高，持续改进了管理体系的有效性。</w:t>
            </w:r>
          </w:p>
          <w:p>
            <w:pPr>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自管理体系运行以来，全员的管理意识、服务意识、环保意识有较大的提高，市场经营规模有了较大发展，持续改进了管理管理体系的有效性。</w:t>
            </w:r>
          </w:p>
        </w:tc>
        <w:tc>
          <w:tcPr>
            <w:tcW w:w="655" w:type="dxa"/>
            <w:tcBorders>
              <w:bottom w:val="single" w:color="auto" w:sz="4" w:space="0"/>
            </w:tcBorders>
          </w:tcPr>
          <w:p>
            <w:pPr>
              <w:spacing w:line="320" w:lineRule="exact"/>
              <w:rPr>
                <w:rFonts w:hint="default"/>
                <w:lang w:val="en-US" w:eastAsia="zh-CN"/>
              </w:rPr>
            </w:pPr>
            <w:r>
              <w:rPr>
                <w:rFonts w:hint="eastAsia"/>
                <w:lang w:val="en-US" w:eastAsia="zh-CN"/>
              </w:rPr>
              <w:t>OK</w:t>
            </w:r>
          </w:p>
          <w:p>
            <w:pPr>
              <w:spacing w:line="360" w:lineRule="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799" w:type="dxa"/>
            <w:tcBorders>
              <w:bottom w:val="single" w:color="auto" w:sz="4" w:space="0"/>
            </w:tcBorders>
            <w:vAlign w:val="top"/>
          </w:tcPr>
          <w:p>
            <w:pPr>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事件、不符合和纠正措施</w:t>
            </w:r>
          </w:p>
        </w:tc>
        <w:tc>
          <w:tcPr>
            <w:tcW w:w="1004" w:type="dxa"/>
            <w:tcBorders>
              <w:bottom w:val="single" w:color="auto" w:sz="4" w:space="0"/>
            </w:tcBorders>
            <w:vAlign w:val="top"/>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QEO10.2</w:t>
            </w:r>
          </w:p>
        </w:tc>
        <w:tc>
          <w:tcPr>
            <w:tcW w:w="11251" w:type="dxa"/>
            <w:tcBorders>
              <w:bottom w:val="single" w:color="auto" w:sz="4" w:space="0"/>
            </w:tcBorders>
            <w:vAlign w:val="top"/>
          </w:tcPr>
          <w:p>
            <w:pPr>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企业经过策划、过程的监视和测量、绩效考核、内审、管理评审等方式和机制，确保质量管理制度有效执行。制定监视和测量控制程序、不符合、纠正和预防措施控制程序、事故调查处理控制程序等，通过分析实际存在的或潜在的不符合的原因，制定纠正和预防措施，并验证其效果，以防止不符合的发生／再发生，实现持续改进绩效的目的。</w:t>
            </w:r>
          </w:p>
          <w:p>
            <w:pPr>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对内审中的不符合，采取了纠正措施，并验证； </w:t>
            </w:r>
          </w:p>
          <w:p>
            <w:pPr>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为保证公司职业健康安全管理体系的有效运行，通过对安全事件的调查处理，以确保管理体系运行的有效性。</w:t>
            </w:r>
          </w:p>
          <w:p>
            <w:pPr>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经查在公司正常经营活动中，出现了轻微不符合，部门已经采取纠正和纠正措施，经验证纠正措施有效。</w:t>
            </w:r>
          </w:p>
          <w:p>
            <w:pPr>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公司生产及销售活动未发生过环境、安全等事故。</w:t>
            </w:r>
          </w:p>
          <w:p>
            <w:pPr>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查持续改进：a. 通过管理体系运行，管理方针、目标的实施，内审、管理评审进行持续改进；b. 通过数据分析、纠正、预防措施实施达到持续改进；c. 通过顾客满意度调查，改进、提高产品质量，满足顾客需求，达到持续改进的目的。</w:t>
            </w:r>
          </w:p>
          <w:p>
            <w:pPr>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管理评审提出改进措施正在实施过程中。</w:t>
            </w:r>
          </w:p>
        </w:tc>
        <w:tc>
          <w:tcPr>
            <w:tcW w:w="655" w:type="dxa"/>
            <w:tcBorders>
              <w:bottom w:val="single" w:color="auto" w:sz="4" w:space="0"/>
            </w:tcBorders>
          </w:tcPr>
          <w:p>
            <w:pPr>
              <w:spacing w:line="320" w:lineRule="exact"/>
              <w:rPr>
                <w:rFonts w:hint="default"/>
                <w:lang w:val="en-US" w:eastAsia="zh-CN"/>
              </w:rPr>
            </w:pPr>
            <w:r>
              <w:rPr>
                <w:rFonts w:hint="eastAsia"/>
                <w:lang w:val="en-US" w:eastAsia="zh-CN"/>
              </w:rPr>
              <w:t>OK</w:t>
            </w:r>
          </w:p>
          <w:p>
            <w:pPr>
              <w:spacing w:line="360" w:lineRule="auto"/>
              <w:rPr>
                <w:rFonts w:hint="eastAsia" w:asciiTheme="minorEastAsia" w:hAnsiTheme="minorEastAsia" w:eastAsiaTheme="minorEastAsia" w:cstheme="minorEastAsia"/>
                <w:szCs w:val="21"/>
              </w:rPr>
            </w:pPr>
            <w:bookmarkStart w:id="1" w:name="_GoBack"/>
            <w:bookmarkEnd w:id="1"/>
          </w:p>
        </w:tc>
      </w:tr>
    </w:tbl>
    <w:p>
      <w:pPr>
        <w:pStyle w:val="12"/>
        <w:rPr>
          <w:rFonts w:hint="eastAsia" w:asciiTheme="minorEastAsia" w:hAnsiTheme="minorEastAsia" w:eastAsiaTheme="minorEastAsia" w:cstheme="minorEastAsia"/>
        </w:rPr>
      </w:pPr>
    </w:p>
    <w:p>
      <w:pPr>
        <w:spacing w:line="480" w:lineRule="exact"/>
        <w:jc w:val="center"/>
        <w:rPr>
          <w:rFonts w:hint="eastAsia" w:asciiTheme="minorEastAsia" w:hAnsiTheme="minorEastAsia" w:eastAsiaTheme="minorEastAsia" w:cstheme="minorEastAsia"/>
          <w:bCs/>
          <w:color w:val="000000"/>
          <w:sz w:val="36"/>
          <w:szCs w:val="36"/>
        </w:rPr>
      </w:pPr>
    </w:p>
    <w:p>
      <w:pPr>
        <w:spacing w:line="480" w:lineRule="exact"/>
        <w:jc w:val="center"/>
        <w:rPr>
          <w:rFonts w:hint="eastAsia" w:asciiTheme="minorEastAsia" w:hAnsiTheme="minorEastAsia" w:eastAsiaTheme="minorEastAsia" w:cstheme="minorEastAsia"/>
          <w:bCs/>
          <w:color w:val="000000"/>
          <w:sz w:val="36"/>
          <w:szCs w:val="36"/>
        </w:rPr>
      </w:pPr>
    </w:p>
    <w:p>
      <w:pPr>
        <w:pStyle w:val="12"/>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8910"/>
        <w:tab w:val="left" w:pos="9142"/>
        <w:tab w:val="clear" w:pos="4153"/>
      </w:tabs>
      <w:spacing w:line="320" w:lineRule="exact"/>
      <w:ind w:left="-86" w:leftChars="-41" w:firstLine="810" w:firstLineChars="450"/>
      <w:jc w:val="left"/>
      <w:rPr>
        <w:rStyle w:val="2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3"/>
        <w:rFonts w:hint="default"/>
      </w:rPr>
      <w:t>北京国标联合认证有限公司</w:t>
    </w:r>
    <w:r>
      <w:rPr>
        <w:rStyle w:val="23"/>
        <w:rFonts w:hint="default"/>
      </w:rPr>
      <w:tab/>
    </w:r>
    <w:r>
      <w:rPr>
        <w:rStyle w:val="23"/>
        <w:rFonts w:hint="default"/>
      </w:rPr>
      <w:tab/>
    </w:r>
    <w:r>
      <w:rPr>
        <w:rStyle w:val="23"/>
        <w:rFonts w:hint="default"/>
      </w:rPr>
      <w:tab/>
    </w:r>
  </w:p>
  <w:p>
    <w:pPr>
      <w:pStyle w:val="13"/>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3"/>
        <w:rFonts w:hint="default"/>
        <w:w w:val="90"/>
      </w:rPr>
      <w:t>Beijing International Standard united Certification Co.,Ltd.</w: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DEA"/>
    <w:multiLevelType w:val="multilevel"/>
    <w:tmpl w:val="0DB92DEA"/>
    <w:lvl w:ilvl="0" w:tentative="0">
      <w:start w:val="1"/>
      <w:numFmt w:val="decimal"/>
      <w:suff w:val="space"/>
      <w:lvlText w:val="第%1章"/>
      <w:lvlJc w:val="left"/>
      <w:pPr>
        <w:ind w:left="0" w:firstLine="0"/>
      </w:pPr>
      <w:rPr>
        <w:rFonts w:hint="eastAsia"/>
      </w:rPr>
    </w:lvl>
    <w:lvl w:ilvl="1" w:tentative="0">
      <w:start w:val="1"/>
      <w:numFmt w:val="decimal"/>
      <w:suff w:val="space"/>
      <w:lvlText w:val="%1.%2"/>
      <w:lvlJc w:val="left"/>
      <w:pPr>
        <w:ind w:left="425" w:hanging="425"/>
      </w:pPr>
      <w:rPr>
        <w:rFonts w:hint="default" w:ascii="Calibri" w:hAnsi="Calibri" w:cs="Calibri"/>
        <w:sz w:val="32"/>
        <w:szCs w:val="32"/>
      </w:rPr>
    </w:lvl>
    <w:lvl w:ilvl="2" w:tentative="0">
      <w:start w:val="1"/>
      <w:numFmt w:val="decimal"/>
      <w:pStyle w:val="3"/>
      <w:suff w:val="space"/>
      <w:lvlText w:val="%1.%2.%3"/>
      <w:lvlJc w:val="left"/>
      <w:pPr>
        <w:ind w:left="567" w:hanging="567"/>
      </w:pPr>
      <w:rPr>
        <w:rFonts w:hint="eastAsia"/>
      </w:rPr>
    </w:lvl>
    <w:lvl w:ilvl="3" w:tentative="0">
      <w:start w:val="1"/>
      <w:numFmt w:val="decimal"/>
      <w:suff w:val="space"/>
      <w:lvlText w:val="%1.%2.%3.%4"/>
      <w:lvlJc w:val="left"/>
      <w:pPr>
        <w:ind w:left="1418" w:hanging="567"/>
      </w:pPr>
      <w:rPr>
        <w:rFonts w:hint="eastAsia"/>
        <w:b/>
      </w:rPr>
    </w:lvl>
    <w:lvl w:ilvl="4" w:tentative="0">
      <w:start w:val="1"/>
      <w:numFmt w:val="decimal"/>
      <w:suff w:val="space"/>
      <w:lvlText w:val="%1.%2.%3.%4.%5"/>
      <w:lvlJc w:val="left"/>
      <w:pPr>
        <w:ind w:left="2835" w:hanging="709"/>
      </w:pPr>
      <w:rPr>
        <w:rFonts w:hint="eastAsia"/>
      </w:rPr>
    </w:lvl>
    <w:lvl w:ilvl="5" w:tentative="0">
      <w:start w:val="1"/>
      <w:numFmt w:val="decimal"/>
      <w:suff w:val="space"/>
      <w:lvlText w:val="%1.%2.%3.%4.%5.%6"/>
      <w:lvlJc w:val="left"/>
      <w:pPr>
        <w:ind w:left="2693" w:hanging="992"/>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3905"/>
    <w:rsid w:val="007B3DAF"/>
    <w:rsid w:val="00DB72B2"/>
    <w:rsid w:val="00ED266B"/>
    <w:rsid w:val="00F43426"/>
    <w:rsid w:val="00F72ABE"/>
    <w:rsid w:val="010F4C60"/>
    <w:rsid w:val="01E3771F"/>
    <w:rsid w:val="024F1167"/>
    <w:rsid w:val="027A5C11"/>
    <w:rsid w:val="02B74B3F"/>
    <w:rsid w:val="03314A7D"/>
    <w:rsid w:val="03971E0B"/>
    <w:rsid w:val="03BF4DF3"/>
    <w:rsid w:val="04476F14"/>
    <w:rsid w:val="0458744E"/>
    <w:rsid w:val="050D203E"/>
    <w:rsid w:val="050F7AD6"/>
    <w:rsid w:val="0515091E"/>
    <w:rsid w:val="056F513E"/>
    <w:rsid w:val="05F12FC1"/>
    <w:rsid w:val="06276BA1"/>
    <w:rsid w:val="071E0BD8"/>
    <w:rsid w:val="071E5396"/>
    <w:rsid w:val="07252F75"/>
    <w:rsid w:val="07511AB9"/>
    <w:rsid w:val="077168B6"/>
    <w:rsid w:val="07760118"/>
    <w:rsid w:val="07DD4098"/>
    <w:rsid w:val="08151499"/>
    <w:rsid w:val="08193D3A"/>
    <w:rsid w:val="085F30D4"/>
    <w:rsid w:val="0872572E"/>
    <w:rsid w:val="0875081F"/>
    <w:rsid w:val="08870786"/>
    <w:rsid w:val="08F215E2"/>
    <w:rsid w:val="09296E07"/>
    <w:rsid w:val="09B01C49"/>
    <w:rsid w:val="09E31136"/>
    <w:rsid w:val="09EB1CAA"/>
    <w:rsid w:val="0A165B13"/>
    <w:rsid w:val="0A7372D5"/>
    <w:rsid w:val="0AAD3E63"/>
    <w:rsid w:val="0ABE51AD"/>
    <w:rsid w:val="0B063520"/>
    <w:rsid w:val="0B59105B"/>
    <w:rsid w:val="0BED6A15"/>
    <w:rsid w:val="0C1A06B5"/>
    <w:rsid w:val="0C361B65"/>
    <w:rsid w:val="0C3B40FC"/>
    <w:rsid w:val="0CE5132C"/>
    <w:rsid w:val="0D0518EE"/>
    <w:rsid w:val="0D444194"/>
    <w:rsid w:val="0D4B347F"/>
    <w:rsid w:val="0D570C8A"/>
    <w:rsid w:val="0DDC4A26"/>
    <w:rsid w:val="0E04283D"/>
    <w:rsid w:val="0F033D06"/>
    <w:rsid w:val="0F9C26D4"/>
    <w:rsid w:val="10146BF1"/>
    <w:rsid w:val="104F6DAF"/>
    <w:rsid w:val="107D501B"/>
    <w:rsid w:val="10B27CAD"/>
    <w:rsid w:val="11273C0B"/>
    <w:rsid w:val="1174748E"/>
    <w:rsid w:val="11915D99"/>
    <w:rsid w:val="11EC7CB4"/>
    <w:rsid w:val="120C44D2"/>
    <w:rsid w:val="121C34B5"/>
    <w:rsid w:val="130F1D4C"/>
    <w:rsid w:val="134C3D0E"/>
    <w:rsid w:val="138C3317"/>
    <w:rsid w:val="13A84DED"/>
    <w:rsid w:val="13B66175"/>
    <w:rsid w:val="13ED22A6"/>
    <w:rsid w:val="13FB79B0"/>
    <w:rsid w:val="140B4438"/>
    <w:rsid w:val="14496629"/>
    <w:rsid w:val="1492636B"/>
    <w:rsid w:val="14A062F4"/>
    <w:rsid w:val="16D67ED2"/>
    <w:rsid w:val="16E26F0E"/>
    <w:rsid w:val="16F02E90"/>
    <w:rsid w:val="17062B69"/>
    <w:rsid w:val="182164BB"/>
    <w:rsid w:val="188972CF"/>
    <w:rsid w:val="18B95C0D"/>
    <w:rsid w:val="18D068A4"/>
    <w:rsid w:val="19122210"/>
    <w:rsid w:val="194A1301"/>
    <w:rsid w:val="195576C8"/>
    <w:rsid w:val="19CA6AEA"/>
    <w:rsid w:val="1A4A1F1B"/>
    <w:rsid w:val="1AB22DB0"/>
    <w:rsid w:val="1B04548A"/>
    <w:rsid w:val="1B3A1DD3"/>
    <w:rsid w:val="1C4D73A6"/>
    <w:rsid w:val="1C984EA9"/>
    <w:rsid w:val="1CF54D0D"/>
    <w:rsid w:val="1D173593"/>
    <w:rsid w:val="1D5510E6"/>
    <w:rsid w:val="1D8927A9"/>
    <w:rsid w:val="1DAA697C"/>
    <w:rsid w:val="1DBC259A"/>
    <w:rsid w:val="1DFC4614"/>
    <w:rsid w:val="1E57661E"/>
    <w:rsid w:val="1E8D2F4B"/>
    <w:rsid w:val="1F5A25AA"/>
    <w:rsid w:val="1F87166B"/>
    <w:rsid w:val="1FB46DBE"/>
    <w:rsid w:val="20093412"/>
    <w:rsid w:val="20221AB6"/>
    <w:rsid w:val="20641CD2"/>
    <w:rsid w:val="206D5617"/>
    <w:rsid w:val="209C2F82"/>
    <w:rsid w:val="20D87DD3"/>
    <w:rsid w:val="21333CB9"/>
    <w:rsid w:val="215B5EE3"/>
    <w:rsid w:val="2170552A"/>
    <w:rsid w:val="21725EAA"/>
    <w:rsid w:val="21BD1856"/>
    <w:rsid w:val="21F775B6"/>
    <w:rsid w:val="21FE778F"/>
    <w:rsid w:val="222511D3"/>
    <w:rsid w:val="222A7E1E"/>
    <w:rsid w:val="22A33E3D"/>
    <w:rsid w:val="23C53F61"/>
    <w:rsid w:val="24AF1061"/>
    <w:rsid w:val="2528193B"/>
    <w:rsid w:val="25444A65"/>
    <w:rsid w:val="264941D1"/>
    <w:rsid w:val="26703415"/>
    <w:rsid w:val="268F7A4C"/>
    <w:rsid w:val="26A21C12"/>
    <w:rsid w:val="26E32CAC"/>
    <w:rsid w:val="27416481"/>
    <w:rsid w:val="276F23A0"/>
    <w:rsid w:val="277F67AF"/>
    <w:rsid w:val="27C231BC"/>
    <w:rsid w:val="280C386E"/>
    <w:rsid w:val="283C5AAF"/>
    <w:rsid w:val="28AC6FA1"/>
    <w:rsid w:val="28AD7F2A"/>
    <w:rsid w:val="290772D8"/>
    <w:rsid w:val="29526A59"/>
    <w:rsid w:val="29991719"/>
    <w:rsid w:val="29DB75AB"/>
    <w:rsid w:val="2A0F693C"/>
    <w:rsid w:val="2A4B79CF"/>
    <w:rsid w:val="2A583BDC"/>
    <w:rsid w:val="2B846F6E"/>
    <w:rsid w:val="2BDE2DFD"/>
    <w:rsid w:val="2C1F26D0"/>
    <w:rsid w:val="2C3D292E"/>
    <w:rsid w:val="2C477944"/>
    <w:rsid w:val="2C681735"/>
    <w:rsid w:val="2CB46FDB"/>
    <w:rsid w:val="2DFB27B7"/>
    <w:rsid w:val="2ED42FAB"/>
    <w:rsid w:val="2F366741"/>
    <w:rsid w:val="325B5177"/>
    <w:rsid w:val="32625B19"/>
    <w:rsid w:val="32FA5B66"/>
    <w:rsid w:val="33077788"/>
    <w:rsid w:val="33803AE5"/>
    <w:rsid w:val="33DA419B"/>
    <w:rsid w:val="340D5819"/>
    <w:rsid w:val="34C2320E"/>
    <w:rsid w:val="34FD6C4E"/>
    <w:rsid w:val="357F7BE6"/>
    <w:rsid w:val="359E5DA6"/>
    <w:rsid w:val="36292E46"/>
    <w:rsid w:val="36C67F48"/>
    <w:rsid w:val="36FE6ED4"/>
    <w:rsid w:val="370C0EF6"/>
    <w:rsid w:val="37A03B9A"/>
    <w:rsid w:val="38871868"/>
    <w:rsid w:val="38C773A4"/>
    <w:rsid w:val="38D65753"/>
    <w:rsid w:val="39824704"/>
    <w:rsid w:val="39A15878"/>
    <w:rsid w:val="39AD5135"/>
    <w:rsid w:val="39F545FE"/>
    <w:rsid w:val="3A7733B5"/>
    <w:rsid w:val="3A8F42DA"/>
    <w:rsid w:val="3ACC739E"/>
    <w:rsid w:val="3AF251B7"/>
    <w:rsid w:val="3AFD3559"/>
    <w:rsid w:val="3B1825C5"/>
    <w:rsid w:val="3B320E51"/>
    <w:rsid w:val="3B8023A1"/>
    <w:rsid w:val="3B8519B2"/>
    <w:rsid w:val="3B874061"/>
    <w:rsid w:val="3C676135"/>
    <w:rsid w:val="3CB60938"/>
    <w:rsid w:val="3D0E3869"/>
    <w:rsid w:val="3D586B1B"/>
    <w:rsid w:val="3EB82705"/>
    <w:rsid w:val="3EC5675F"/>
    <w:rsid w:val="3F767015"/>
    <w:rsid w:val="40261399"/>
    <w:rsid w:val="40543EF5"/>
    <w:rsid w:val="405F7DF3"/>
    <w:rsid w:val="408A5C74"/>
    <w:rsid w:val="40CC02CC"/>
    <w:rsid w:val="40D031F2"/>
    <w:rsid w:val="40D83E9F"/>
    <w:rsid w:val="40E4142D"/>
    <w:rsid w:val="41736CE5"/>
    <w:rsid w:val="41982DB7"/>
    <w:rsid w:val="419D4385"/>
    <w:rsid w:val="420F0402"/>
    <w:rsid w:val="43126C97"/>
    <w:rsid w:val="431E0008"/>
    <w:rsid w:val="434D13B2"/>
    <w:rsid w:val="437753D5"/>
    <w:rsid w:val="43B70C81"/>
    <w:rsid w:val="44292AD4"/>
    <w:rsid w:val="4469254F"/>
    <w:rsid w:val="44B27C2A"/>
    <w:rsid w:val="451A3510"/>
    <w:rsid w:val="46300AAA"/>
    <w:rsid w:val="466B5573"/>
    <w:rsid w:val="469B1CAE"/>
    <w:rsid w:val="46AE5FF3"/>
    <w:rsid w:val="474D75E2"/>
    <w:rsid w:val="48150E11"/>
    <w:rsid w:val="48212EC4"/>
    <w:rsid w:val="4862186A"/>
    <w:rsid w:val="486A1D18"/>
    <w:rsid w:val="48B614A6"/>
    <w:rsid w:val="48CB5056"/>
    <w:rsid w:val="49370AB5"/>
    <w:rsid w:val="4A0C4B1D"/>
    <w:rsid w:val="4B031B7A"/>
    <w:rsid w:val="4BA4167F"/>
    <w:rsid w:val="4BF806A6"/>
    <w:rsid w:val="4C540BEC"/>
    <w:rsid w:val="4C6427BD"/>
    <w:rsid w:val="4CE66527"/>
    <w:rsid w:val="4D221E11"/>
    <w:rsid w:val="4D271D07"/>
    <w:rsid w:val="4D4D6563"/>
    <w:rsid w:val="4E230FE8"/>
    <w:rsid w:val="4E3C6E2B"/>
    <w:rsid w:val="4E3E4E22"/>
    <w:rsid w:val="4E4832CD"/>
    <w:rsid w:val="4E835676"/>
    <w:rsid w:val="4F0F48AA"/>
    <w:rsid w:val="4FB9214A"/>
    <w:rsid w:val="4FC5339D"/>
    <w:rsid w:val="4FC66683"/>
    <w:rsid w:val="4FD23DCD"/>
    <w:rsid w:val="4FE20E43"/>
    <w:rsid w:val="50243E54"/>
    <w:rsid w:val="50425DAA"/>
    <w:rsid w:val="50A713CB"/>
    <w:rsid w:val="513405CC"/>
    <w:rsid w:val="513813F3"/>
    <w:rsid w:val="515A41FC"/>
    <w:rsid w:val="519B1D3C"/>
    <w:rsid w:val="524D2A61"/>
    <w:rsid w:val="527E73EA"/>
    <w:rsid w:val="52802927"/>
    <w:rsid w:val="52B03A01"/>
    <w:rsid w:val="53604C26"/>
    <w:rsid w:val="54431A0E"/>
    <w:rsid w:val="54552B6D"/>
    <w:rsid w:val="54D44AC7"/>
    <w:rsid w:val="553F67DC"/>
    <w:rsid w:val="55CE15C1"/>
    <w:rsid w:val="56112655"/>
    <w:rsid w:val="56A42262"/>
    <w:rsid w:val="5711455E"/>
    <w:rsid w:val="57802FAE"/>
    <w:rsid w:val="57B9702B"/>
    <w:rsid w:val="57D07126"/>
    <w:rsid w:val="58260B9B"/>
    <w:rsid w:val="58500DD6"/>
    <w:rsid w:val="5855243C"/>
    <w:rsid w:val="585D3DF0"/>
    <w:rsid w:val="58746F33"/>
    <w:rsid w:val="58CF6491"/>
    <w:rsid w:val="58D25A73"/>
    <w:rsid w:val="58D54B9A"/>
    <w:rsid w:val="59BE02C8"/>
    <w:rsid w:val="59D624CA"/>
    <w:rsid w:val="5A4A3433"/>
    <w:rsid w:val="5AA804F6"/>
    <w:rsid w:val="5B0B47FB"/>
    <w:rsid w:val="5B1A290D"/>
    <w:rsid w:val="5B4B0AC3"/>
    <w:rsid w:val="5B4F64F7"/>
    <w:rsid w:val="5CA0213D"/>
    <w:rsid w:val="5D156FA2"/>
    <w:rsid w:val="5D551BFA"/>
    <w:rsid w:val="5D6E0C63"/>
    <w:rsid w:val="5DE977F8"/>
    <w:rsid w:val="5F0F1DD3"/>
    <w:rsid w:val="5F207068"/>
    <w:rsid w:val="5F760B65"/>
    <w:rsid w:val="5FA27792"/>
    <w:rsid w:val="5FF35C58"/>
    <w:rsid w:val="60364859"/>
    <w:rsid w:val="603C0D48"/>
    <w:rsid w:val="605F04FC"/>
    <w:rsid w:val="605F13F0"/>
    <w:rsid w:val="608A1A55"/>
    <w:rsid w:val="60A1719B"/>
    <w:rsid w:val="60E35500"/>
    <w:rsid w:val="6121278F"/>
    <w:rsid w:val="612625AA"/>
    <w:rsid w:val="6148542E"/>
    <w:rsid w:val="614D183C"/>
    <w:rsid w:val="61817E3C"/>
    <w:rsid w:val="620F6776"/>
    <w:rsid w:val="62367E65"/>
    <w:rsid w:val="624038C5"/>
    <w:rsid w:val="6265623A"/>
    <w:rsid w:val="628F111D"/>
    <w:rsid w:val="629E1DFA"/>
    <w:rsid w:val="62A86D2A"/>
    <w:rsid w:val="62B23D75"/>
    <w:rsid w:val="62E0271D"/>
    <w:rsid w:val="62EB5301"/>
    <w:rsid w:val="632C14AF"/>
    <w:rsid w:val="6376327D"/>
    <w:rsid w:val="63A66046"/>
    <w:rsid w:val="63E65CAD"/>
    <w:rsid w:val="640A2C69"/>
    <w:rsid w:val="644205E4"/>
    <w:rsid w:val="644D1DFE"/>
    <w:rsid w:val="65364107"/>
    <w:rsid w:val="65DC4836"/>
    <w:rsid w:val="65DF3879"/>
    <w:rsid w:val="661357A0"/>
    <w:rsid w:val="663D1963"/>
    <w:rsid w:val="667A086C"/>
    <w:rsid w:val="66F23DA0"/>
    <w:rsid w:val="67591F27"/>
    <w:rsid w:val="67BF5964"/>
    <w:rsid w:val="67ED0162"/>
    <w:rsid w:val="680C1D11"/>
    <w:rsid w:val="68675294"/>
    <w:rsid w:val="688A2780"/>
    <w:rsid w:val="689E3E83"/>
    <w:rsid w:val="68ED24C0"/>
    <w:rsid w:val="691F79AD"/>
    <w:rsid w:val="698334C9"/>
    <w:rsid w:val="6AEB0406"/>
    <w:rsid w:val="6B1662A0"/>
    <w:rsid w:val="6B324C90"/>
    <w:rsid w:val="6C075B40"/>
    <w:rsid w:val="6C9A762A"/>
    <w:rsid w:val="6CC64A9C"/>
    <w:rsid w:val="6D3D73A6"/>
    <w:rsid w:val="6DB55520"/>
    <w:rsid w:val="6E32632A"/>
    <w:rsid w:val="6E83674B"/>
    <w:rsid w:val="6F81410E"/>
    <w:rsid w:val="6FCA1424"/>
    <w:rsid w:val="70222ADB"/>
    <w:rsid w:val="70323211"/>
    <w:rsid w:val="71277622"/>
    <w:rsid w:val="716B506C"/>
    <w:rsid w:val="71805FEF"/>
    <w:rsid w:val="71C8773D"/>
    <w:rsid w:val="71E940A1"/>
    <w:rsid w:val="72F8265E"/>
    <w:rsid w:val="73235F29"/>
    <w:rsid w:val="73A823EF"/>
    <w:rsid w:val="74775FC0"/>
    <w:rsid w:val="749414A1"/>
    <w:rsid w:val="75FF3432"/>
    <w:rsid w:val="76084588"/>
    <w:rsid w:val="76B83908"/>
    <w:rsid w:val="76EA4765"/>
    <w:rsid w:val="77197ED0"/>
    <w:rsid w:val="77392219"/>
    <w:rsid w:val="77AB14FD"/>
    <w:rsid w:val="78624DA5"/>
    <w:rsid w:val="78773C75"/>
    <w:rsid w:val="78AB0C68"/>
    <w:rsid w:val="78E328E5"/>
    <w:rsid w:val="79046A88"/>
    <w:rsid w:val="79130FEA"/>
    <w:rsid w:val="79662E86"/>
    <w:rsid w:val="79EA0D2A"/>
    <w:rsid w:val="7A2141E3"/>
    <w:rsid w:val="7A33156C"/>
    <w:rsid w:val="7AC27882"/>
    <w:rsid w:val="7AF83AAC"/>
    <w:rsid w:val="7B011597"/>
    <w:rsid w:val="7B0924ED"/>
    <w:rsid w:val="7B2075DD"/>
    <w:rsid w:val="7B2A00C7"/>
    <w:rsid w:val="7B5D5082"/>
    <w:rsid w:val="7BD16A01"/>
    <w:rsid w:val="7C3F1BA4"/>
    <w:rsid w:val="7CD32026"/>
    <w:rsid w:val="7CEB71BA"/>
    <w:rsid w:val="7D9C7A9A"/>
    <w:rsid w:val="7DD06F88"/>
    <w:rsid w:val="7DE85FE7"/>
    <w:rsid w:val="7ED21CB4"/>
    <w:rsid w:val="7F806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4"/>
    <w:next w:val="4"/>
    <w:qFormat/>
    <w:uiPriority w:val="0"/>
    <w:pPr>
      <w:keepNext/>
      <w:keepLines/>
      <w:numPr>
        <w:ilvl w:val="2"/>
        <w:numId w:val="1"/>
      </w:numPr>
      <w:spacing w:before="260" w:after="260" w:line="416" w:lineRule="auto"/>
      <w:ind w:leftChars="0"/>
      <w:outlineLvl w:val="2"/>
    </w:pPr>
    <w:rPr>
      <w:b/>
      <w:bCs/>
      <w:kern w:val="0"/>
      <w:sz w:val="30"/>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bCs/>
      <w:spacing w:val="10"/>
    </w:rPr>
  </w:style>
  <w:style w:type="paragraph" w:styleId="4">
    <w:name w:val="Block Text"/>
    <w:basedOn w:val="1"/>
    <w:unhideWhenUsed/>
    <w:qFormat/>
    <w:uiPriority w:val="99"/>
    <w:pPr>
      <w:spacing w:after="120" w:afterLines="0" w:afterAutospacing="0"/>
      <w:ind w:left="1440" w:leftChars="700" w:rightChars="700"/>
    </w:pPr>
  </w:style>
  <w:style w:type="paragraph" w:styleId="5">
    <w:name w:val="Body Text"/>
    <w:basedOn w:val="1"/>
    <w:next w:val="6"/>
    <w:qFormat/>
    <w:uiPriority w:val="1"/>
    <w:rPr>
      <w:rFonts w:ascii="宋体" w:hAnsi="宋体" w:eastAsia="宋体" w:cs="宋体"/>
      <w:sz w:val="24"/>
      <w:szCs w:val="24"/>
    </w:rPr>
  </w:style>
  <w:style w:type="paragraph" w:customStyle="1" w:styleId="6">
    <w:name w:val="一级条标题"/>
    <w:basedOn w:val="7"/>
    <w:next w:val="8"/>
    <w:qFormat/>
    <w:uiPriority w:val="0"/>
    <w:pPr>
      <w:spacing w:line="240" w:lineRule="auto"/>
      <w:ind w:left="420"/>
      <w:outlineLvl w:val="2"/>
    </w:pPr>
  </w:style>
  <w:style w:type="paragraph" w:customStyle="1" w:styleId="7">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8">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9">
    <w:name w:val="Body Text Indent"/>
    <w:basedOn w:val="1"/>
    <w:semiHidden/>
    <w:unhideWhenUsed/>
    <w:qFormat/>
    <w:uiPriority w:val="99"/>
    <w:pPr>
      <w:spacing w:after="120"/>
      <w:ind w:left="420" w:leftChars="200"/>
    </w:pPr>
  </w:style>
  <w:style w:type="paragraph" w:styleId="10">
    <w:name w:val="Plain Text"/>
    <w:basedOn w:val="1"/>
    <w:qFormat/>
    <w:uiPriority w:val="0"/>
    <w:rPr>
      <w:rFonts w:ascii="宋体" w:hAnsi="Courier New" w:eastAsiaTheme="minorEastAsia" w:cstheme="minorBidi"/>
    </w:rPr>
  </w:style>
  <w:style w:type="paragraph" w:styleId="11">
    <w:name w:val="Balloon Text"/>
    <w:basedOn w:val="1"/>
    <w:link w:val="22"/>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rPr>
      <w:rFonts w:asciiTheme="minorHAnsi" w:hAnsiTheme="minorHAnsi" w:eastAsiaTheme="minorEastAsia" w:cstheme="minorBidi"/>
    </w:rPr>
  </w:style>
  <w:style w:type="paragraph" w:styleId="15">
    <w:name w:val="Body Text First Indent"/>
    <w:basedOn w:val="5"/>
    <w:unhideWhenUsed/>
    <w:qFormat/>
    <w:uiPriority w:val="99"/>
    <w:pPr>
      <w:spacing w:before="100" w:beforeAutospacing="1"/>
      <w:ind w:firstLine="420" w:firstLineChars="100"/>
    </w:pPr>
  </w:style>
  <w:style w:type="paragraph" w:styleId="16">
    <w:name w:val="Body Text First Indent 2"/>
    <w:basedOn w:val="9"/>
    <w:unhideWhenUsed/>
    <w:qFormat/>
    <w:uiPriority w:val="99"/>
    <w:pPr>
      <w:ind w:firstLine="420" w:firstLineChars="200"/>
    </w:pPr>
    <w:rPr>
      <w:szCs w:val="24"/>
    </w:rPr>
  </w:style>
  <w:style w:type="character" w:styleId="19">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20">
    <w:name w:val="页眉 Char"/>
    <w:basedOn w:val="18"/>
    <w:link w:val="13"/>
    <w:qFormat/>
    <w:uiPriority w:val="99"/>
    <w:rPr>
      <w:rFonts w:ascii="Times New Roman" w:hAnsi="Times New Roman" w:eastAsia="宋体" w:cs="Times New Roman"/>
      <w:sz w:val="18"/>
      <w:szCs w:val="18"/>
    </w:rPr>
  </w:style>
  <w:style w:type="character" w:customStyle="1" w:styleId="21">
    <w:name w:val="页脚 Char"/>
    <w:basedOn w:val="18"/>
    <w:link w:val="12"/>
    <w:qFormat/>
    <w:uiPriority w:val="99"/>
    <w:rPr>
      <w:rFonts w:ascii="Times New Roman" w:hAnsi="Times New Roman" w:eastAsia="宋体" w:cs="Times New Roman"/>
      <w:sz w:val="18"/>
      <w:szCs w:val="18"/>
    </w:rPr>
  </w:style>
  <w:style w:type="character" w:customStyle="1" w:styleId="22">
    <w:name w:val="批注框文本 Char"/>
    <w:basedOn w:val="18"/>
    <w:link w:val="11"/>
    <w:semiHidden/>
    <w:qFormat/>
    <w:uiPriority w:val="99"/>
    <w:rPr>
      <w:rFonts w:ascii="Times New Roman" w:hAnsi="Times New Roman" w:eastAsia="宋体" w:cs="Times New Roman"/>
      <w:sz w:val="18"/>
      <w:szCs w:val="18"/>
    </w:rPr>
  </w:style>
  <w:style w:type="character" w:customStyle="1" w:styleId="23">
    <w:name w:val="Char Char1"/>
    <w:qFormat/>
    <w:locked/>
    <w:uiPriority w:val="0"/>
    <w:rPr>
      <w:rFonts w:hint="eastAsia" w:ascii="宋体" w:hAnsi="Courier New" w:eastAsia="宋体"/>
      <w:kern w:val="2"/>
      <w:sz w:val="21"/>
      <w:lang w:val="en-US" w:eastAsia="zh-CN" w:bidi="ar-SA"/>
    </w:rPr>
  </w:style>
  <w:style w:type="paragraph" w:styleId="24">
    <w:name w:val="List Paragraph"/>
    <w:basedOn w:val="1"/>
    <w:unhideWhenUsed/>
    <w:qFormat/>
    <w:uiPriority w:val="99"/>
    <w:pPr>
      <w:ind w:firstLine="420" w:firstLineChars="200"/>
    </w:p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2020-12-21T11:57:53Z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